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22" w:rsidRDefault="00956618">
      <w:pPr>
        <w:pStyle w:val="1"/>
        <w:jc w:val="center"/>
      </w:pPr>
      <w:r w:rsidRPr="00956618">
        <w:rPr>
          <w:rFonts w:hint="eastAsia"/>
        </w:rPr>
        <w:t>医保</w:t>
      </w:r>
      <w:r w:rsidRPr="00956618">
        <w:t>drg费用分析和结算清单上传系统</w:t>
      </w:r>
      <w:r w:rsidR="002609A9">
        <w:rPr>
          <w:rFonts w:hint="eastAsia"/>
        </w:rPr>
        <w:t>招标参数</w:t>
      </w:r>
    </w:p>
    <w:p w:rsidR="00F01F22" w:rsidRDefault="002609A9">
      <w:pPr>
        <w:pStyle w:val="a"/>
      </w:pPr>
      <w:bookmarkStart w:id="0" w:name="_Toc107999032"/>
      <w:r>
        <w:rPr>
          <w:rFonts w:hint="eastAsia"/>
        </w:rPr>
        <w:t>商务要求</w:t>
      </w:r>
      <w:bookmarkStart w:id="1" w:name="_GoBack"/>
      <w:bookmarkEnd w:id="0"/>
      <w:bookmarkEnd w:id="1"/>
    </w:p>
    <w:p w:rsidR="00F01F22" w:rsidRDefault="002609A9">
      <w:r>
        <w:rPr>
          <w:rFonts w:hint="eastAsia"/>
        </w:rPr>
        <w:t>（</w:t>
      </w:r>
      <w:r>
        <w:rPr>
          <w:rFonts w:hint="eastAsia"/>
        </w:rPr>
        <w:t>1</w:t>
      </w:r>
      <w:r>
        <w:rPr>
          <w:rFonts w:hint="eastAsia"/>
        </w:rPr>
        <w:t>）具备投标条件的中华人民共和国独立法人，有相关经营范围，营业执照、税务登记证、组织机构代码按时年审合法有效。</w:t>
      </w:r>
    </w:p>
    <w:p w:rsidR="00F01F22" w:rsidRDefault="002609A9">
      <w:r>
        <w:rPr>
          <w:rFonts w:hint="eastAsia"/>
        </w:rPr>
        <w:t>（</w:t>
      </w:r>
      <w:r>
        <w:rPr>
          <w:rFonts w:hint="eastAsia"/>
        </w:rPr>
        <w:t>2</w:t>
      </w:r>
      <w:r>
        <w:rPr>
          <w:rFonts w:hint="eastAsia"/>
        </w:rPr>
        <w:t>）设有软件研发中心、技术支持中心和远程服务中心。</w:t>
      </w:r>
    </w:p>
    <w:p w:rsidR="00F01F22" w:rsidRDefault="002609A9">
      <w:r>
        <w:rPr>
          <w:rFonts w:hint="eastAsia"/>
        </w:rPr>
        <w:t>（</w:t>
      </w:r>
      <w:r>
        <w:rPr>
          <w:rFonts w:hint="eastAsia"/>
        </w:rPr>
        <w:t>3</w:t>
      </w:r>
      <w:r>
        <w:rPr>
          <w:rFonts w:hint="eastAsia"/>
        </w:rPr>
        <w:t>）具有项目如期履约能力、售后服务能力技术支持团队。</w:t>
      </w:r>
    </w:p>
    <w:p w:rsidR="00F01F22" w:rsidRDefault="002609A9">
      <w:r>
        <w:rPr>
          <w:rFonts w:hint="eastAsia"/>
        </w:rPr>
        <w:t>（</w:t>
      </w:r>
      <w:r>
        <w:rPr>
          <w:rFonts w:hint="eastAsia"/>
        </w:rPr>
        <w:t>4</w:t>
      </w:r>
      <w:r>
        <w:rPr>
          <w:rFonts w:hint="eastAsia"/>
        </w:rPr>
        <w:t>）本项目不接受联合体投标。</w:t>
      </w:r>
    </w:p>
    <w:p w:rsidR="00F01F22" w:rsidRDefault="00F01F22"/>
    <w:p w:rsidR="00F01F22" w:rsidRDefault="002609A9">
      <w:pPr>
        <w:pStyle w:val="a"/>
      </w:pPr>
      <w:bookmarkStart w:id="2" w:name="_Toc107999033"/>
      <w:r>
        <w:rPr>
          <w:rFonts w:hint="eastAsia"/>
        </w:rPr>
        <w:t>技术能力要求</w:t>
      </w:r>
      <w:bookmarkEnd w:id="2"/>
    </w:p>
    <w:p w:rsidR="00F01F22" w:rsidRDefault="002609A9">
      <w:r>
        <w:rPr>
          <w:rFonts w:hint="eastAsia"/>
        </w:rPr>
        <w:t>（</w:t>
      </w:r>
      <w:r>
        <w:rPr>
          <w:rFonts w:hint="eastAsia"/>
        </w:rPr>
        <w:t>1</w:t>
      </w:r>
      <w:r>
        <w:rPr>
          <w:rFonts w:hint="eastAsia"/>
        </w:rPr>
        <w:t>）</w:t>
      </w:r>
      <w:r>
        <w:rPr>
          <w:rFonts w:cs="仿宋" w:hint="eastAsia"/>
        </w:rPr>
        <w:t>★本服务</w:t>
      </w:r>
      <w:r>
        <w:t>所支持的</w:t>
      </w:r>
      <w:r>
        <w:rPr>
          <w:rFonts w:hint="eastAsia"/>
        </w:rPr>
        <w:t>系统采用</w:t>
      </w:r>
      <w:r>
        <w:rPr>
          <w:rFonts w:hint="eastAsia"/>
        </w:rPr>
        <w:t>B/S</w:t>
      </w:r>
      <w:r>
        <w:rPr>
          <w:rFonts w:hint="eastAsia"/>
        </w:rPr>
        <w:t>架构。</w:t>
      </w:r>
    </w:p>
    <w:p w:rsidR="00F01F22" w:rsidRDefault="002609A9">
      <w:r>
        <w:rPr>
          <w:rFonts w:hint="eastAsia"/>
        </w:rPr>
        <w:t>（</w:t>
      </w:r>
      <w:r>
        <w:rPr>
          <w:rFonts w:hint="eastAsia"/>
        </w:rPr>
        <w:t>2</w:t>
      </w:r>
      <w:r>
        <w:rPr>
          <w:rFonts w:hint="eastAsia"/>
        </w:rPr>
        <w:t>）遵循</w:t>
      </w:r>
      <w:r>
        <w:rPr>
          <w:rFonts w:hint="eastAsia"/>
        </w:rPr>
        <w:t>J2EE</w:t>
      </w:r>
      <w:r>
        <w:rPr>
          <w:rFonts w:hint="eastAsia"/>
        </w:rPr>
        <w:t>规范的系统架构和技术。</w:t>
      </w:r>
    </w:p>
    <w:p w:rsidR="00F01F22" w:rsidRDefault="002609A9">
      <w:r>
        <w:rPr>
          <w:rFonts w:hint="eastAsia"/>
        </w:rPr>
        <w:t>（</w:t>
      </w:r>
      <w:r>
        <w:rPr>
          <w:rFonts w:hint="eastAsia"/>
        </w:rPr>
        <w:t>3</w:t>
      </w:r>
      <w:r>
        <w:rPr>
          <w:rFonts w:hint="eastAsia"/>
        </w:rPr>
        <w:t>）</w:t>
      </w:r>
      <w:r>
        <w:rPr>
          <w:rFonts w:cs="仿宋" w:hint="eastAsia"/>
        </w:rPr>
        <w:t xml:space="preserve"> </w:t>
      </w:r>
      <w:r>
        <w:rPr>
          <w:rFonts w:hint="eastAsia"/>
        </w:rPr>
        <w:t>编程语言支持跨平台应用，客户端采用浏览器应用，接口支持</w:t>
      </w:r>
      <w:r>
        <w:rPr>
          <w:rFonts w:hint="eastAsia"/>
        </w:rPr>
        <w:t>Web</w:t>
      </w:r>
      <w:r>
        <w:t xml:space="preserve"> </w:t>
      </w:r>
      <w:r>
        <w:rPr>
          <w:rFonts w:hint="eastAsia"/>
        </w:rPr>
        <w:t>API</w:t>
      </w:r>
      <w:r>
        <w:rPr>
          <w:rFonts w:hint="eastAsia"/>
        </w:rPr>
        <w:t>、</w:t>
      </w:r>
      <w:r>
        <w:rPr>
          <w:rFonts w:hint="eastAsia"/>
        </w:rPr>
        <w:t>XML</w:t>
      </w:r>
      <w:r>
        <w:rPr>
          <w:rFonts w:hint="eastAsia"/>
        </w:rPr>
        <w:t>、</w:t>
      </w:r>
      <w:r>
        <w:rPr>
          <w:rFonts w:hint="eastAsia"/>
        </w:rPr>
        <w:t>WebService</w:t>
      </w:r>
      <w:r>
        <w:rPr>
          <w:rFonts w:hint="eastAsia"/>
        </w:rPr>
        <w:t>技术对外提供交互扩展。</w:t>
      </w:r>
    </w:p>
    <w:p w:rsidR="00F01F22" w:rsidRDefault="002609A9">
      <w:r>
        <w:rPr>
          <w:rFonts w:hint="eastAsia"/>
        </w:rPr>
        <w:t>（</w:t>
      </w:r>
      <w:r>
        <w:rPr>
          <w:rFonts w:hint="eastAsia"/>
        </w:rPr>
        <w:t>4</w:t>
      </w:r>
      <w:r>
        <w:rPr>
          <w:rFonts w:hint="eastAsia"/>
        </w:rPr>
        <w:t>）支持各</w:t>
      </w:r>
      <w:r>
        <w:rPr>
          <w:rFonts w:hint="eastAsia"/>
        </w:rPr>
        <w:t>ICD</w:t>
      </w:r>
      <w:r>
        <w:rPr>
          <w:rFonts w:hint="eastAsia"/>
        </w:rPr>
        <w:t>版本编码、病案首页数据映射成国家统一、最新的标准和规范，并实现与国家医保局有关标准的衔接。</w:t>
      </w:r>
    </w:p>
    <w:p w:rsidR="00F01F22" w:rsidRDefault="002609A9">
      <w:r>
        <w:rPr>
          <w:rFonts w:hint="eastAsia"/>
        </w:rPr>
        <w:t>（</w:t>
      </w:r>
      <w:r>
        <w:rPr>
          <w:rFonts w:hint="eastAsia"/>
        </w:rPr>
        <w:t>5</w:t>
      </w:r>
      <w:r>
        <w:rPr>
          <w:rFonts w:hint="eastAsia"/>
        </w:rPr>
        <w:t>）支持国家医保局</w:t>
      </w:r>
      <w:r>
        <w:rPr>
          <w:rFonts w:hint="eastAsia"/>
        </w:rPr>
        <w:t>C</w:t>
      </w:r>
      <w:r>
        <w:t>HS-DRG</w:t>
      </w:r>
      <w:r>
        <w:rPr>
          <w:rFonts w:hint="eastAsia"/>
        </w:rPr>
        <w:t>分组技术规范在系统中的本地化使用。</w:t>
      </w:r>
    </w:p>
    <w:p w:rsidR="00F01F22" w:rsidRDefault="002609A9">
      <w:r>
        <w:rPr>
          <w:rFonts w:hint="eastAsia"/>
        </w:rPr>
        <w:t>（</w:t>
      </w:r>
      <w:r>
        <w:t>6</w:t>
      </w:r>
      <w:r>
        <w:rPr>
          <w:rFonts w:hint="eastAsia"/>
        </w:rPr>
        <w:t>）支持</w:t>
      </w:r>
      <w:r>
        <w:t>CHROME</w:t>
      </w:r>
      <w:r>
        <w:rPr>
          <w:rFonts w:hint="eastAsia"/>
        </w:rPr>
        <w:t>浏览器和国内主流浏览器</w:t>
      </w:r>
      <w:r>
        <w:t>，</w:t>
      </w:r>
      <w:r>
        <w:rPr>
          <w:rFonts w:hint="eastAsia"/>
        </w:rPr>
        <w:t>支持移动端应用。</w:t>
      </w:r>
    </w:p>
    <w:p w:rsidR="00F01F22" w:rsidRDefault="002609A9">
      <w:r>
        <w:rPr>
          <w:rFonts w:hint="eastAsia"/>
        </w:rPr>
        <w:t>（</w:t>
      </w:r>
      <w:r>
        <w:rPr>
          <w:rFonts w:hint="eastAsia"/>
        </w:rPr>
        <w:t>7</w:t>
      </w:r>
      <w:r>
        <w:rPr>
          <w:rFonts w:hint="eastAsia"/>
        </w:rPr>
        <w:t>）医保分组器准确率最低要</w:t>
      </w:r>
      <w:r>
        <w:rPr>
          <w:rFonts w:hint="eastAsia"/>
        </w:rPr>
        <w:t>95%.</w:t>
      </w:r>
      <w:r>
        <w:rPr>
          <w:rFonts w:hint="eastAsia"/>
        </w:rPr>
        <w:t>（提供承诺函）</w:t>
      </w:r>
    </w:p>
    <w:p w:rsidR="00F01F22" w:rsidRDefault="002609A9">
      <w:pPr>
        <w:sectPr w:rsidR="00F01F22">
          <w:footerReference w:type="default" r:id="rId8"/>
          <w:pgSz w:w="11906" w:h="16838"/>
          <w:pgMar w:top="1440" w:right="1800" w:bottom="1440" w:left="1800" w:header="851" w:footer="992" w:gutter="0"/>
          <w:cols w:space="425"/>
          <w:docGrid w:type="lines" w:linePitch="312"/>
        </w:sectPr>
      </w:pPr>
      <w:r>
        <w:rPr>
          <w:rFonts w:hint="eastAsia"/>
        </w:rPr>
        <w:t>（</w:t>
      </w:r>
      <w:r>
        <w:rPr>
          <w:rFonts w:hint="eastAsia"/>
        </w:rPr>
        <w:t>8</w:t>
      </w:r>
      <w:r>
        <w:rPr>
          <w:rFonts w:hint="eastAsia"/>
        </w:rPr>
        <w:t>）问题需要及时解决，</w:t>
      </w:r>
      <w:r>
        <w:rPr>
          <w:rFonts w:hint="eastAsia"/>
        </w:rPr>
        <w:t>BUG</w:t>
      </w:r>
      <w:r>
        <w:rPr>
          <w:rFonts w:hint="eastAsia"/>
        </w:rPr>
        <w:t>：当天解决。（提供承诺函）</w:t>
      </w:r>
    </w:p>
    <w:p w:rsidR="00F01F22" w:rsidRDefault="002609A9">
      <w:pPr>
        <w:pStyle w:val="a"/>
      </w:pPr>
      <w:r>
        <w:rPr>
          <w:rFonts w:hint="eastAsia"/>
        </w:rPr>
        <w:lastRenderedPageBreak/>
        <w:t>服务参数</w:t>
      </w:r>
    </w:p>
    <w:p w:rsidR="00F01F22" w:rsidRDefault="002609A9">
      <w:r>
        <w:rPr>
          <w:rFonts w:hint="eastAsia"/>
        </w:rPr>
        <w:t>服务内容：</w:t>
      </w:r>
    </w:p>
    <w:tbl>
      <w:tblPr>
        <w:tblStyle w:val="ab"/>
        <w:tblW w:w="0" w:type="auto"/>
        <w:tblLook w:val="04A0" w:firstRow="1" w:lastRow="0" w:firstColumn="1" w:lastColumn="0" w:noHBand="0" w:noVBand="1"/>
      </w:tblPr>
      <w:tblGrid>
        <w:gridCol w:w="1101"/>
        <w:gridCol w:w="5103"/>
        <w:gridCol w:w="2318"/>
      </w:tblGrid>
      <w:tr w:rsidR="00F01F22">
        <w:tc>
          <w:tcPr>
            <w:tcW w:w="1101" w:type="dxa"/>
          </w:tcPr>
          <w:p w:rsidR="00F01F22" w:rsidRDefault="002609A9">
            <w:r>
              <w:t>序号</w:t>
            </w:r>
          </w:p>
        </w:tc>
        <w:tc>
          <w:tcPr>
            <w:tcW w:w="5103" w:type="dxa"/>
          </w:tcPr>
          <w:p w:rsidR="00F01F22" w:rsidRDefault="002609A9">
            <w:r>
              <w:t>模块</w:t>
            </w:r>
          </w:p>
        </w:tc>
        <w:tc>
          <w:tcPr>
            <w:tcW w:w="2318" w:type="dxa"/>
          </w:tcPr>
          <w:p w:rsidR="00F01F22" w:rsidRDefault="002609A9">
            <w:r>
              <w:t>数量</w:t>
            </w:r>
          </w:p>
        </w:tc>
      </w:tr>
      <w:tr w:rsidR="00F01F22">
        <w:tc>
          <w:tcPr>
            <w:tcW w:w="1101" w:type="dxa"/>
          </w:tcPr>
          <w:p w:rsidR="00F01F22" w:rsidRDefault="002609A9">
            <w:r>
              <w:rPr>
                <w:rFonts w:hint="eastAsia"/>
              </w:rPr>
              <w:t>1</w:t>
            </w:r>
          </w:p>
        </w:tc>
        <w:tc>
          <w:tcPr>
            <w:tcW w:w="5103" w:type="dxa"/>
          </w:tcPr>
          <w:p w:rsidR="00F01F22" w:rsidRDefault="002609A9">
            <w:r>
              <w:t>医生事中质控和预分组服务（</w:t>
            </w:r>
            <w:r>
              <w:t>CHS</w:t>
            </w:r>
            <w:r>
              <w:rPr>
                <w:rFonts w:hint="eastAsia"/>
              </w:rPr>
              <w:t>-DRG</w:t>
            </w:r>
            <w:r>
              <w:t>）</w:t>
            </w:r>
          </w:p>
        </w:tc>
        <w:tc>
          <w:tcPr>
            <w:tcW w:w="2318" w:type="dxa"/>
          </w:tcPr>
          <w:p w:rsidR="00F01F22" w:rsidRDefault="002609A9">
            <w:r>
              <w:rPr>
                <w:rFonts w:hint="eastAsia"/>
              </w:rPr>
              <w:t>1</w:t>
            </w:r>
          </w:p>
        </w:tc>
      </w:tr>
      <w:tr w:rsidR="00F01F22">
        <w:tc>
          <w:tcPr>
            <w:tcW w:w="1101" w:type="dxa"/>
          </w:tcPr>
          <w:p w:rsidR="00F01F22" w:rsidRDefault="002609A9">
            <w:r>
              <w:rPr>
                <w:rFonts w:hint="eastAsia"/>
              </w:rPr>
              <w:t>2</w:t>
            </w:r>
          </w:p>
        </w:tc>
        <w:tc>
          <w:tcPr>
            <w:tcW w:w="5103" w:type="dxa"/>
          </w:tcPr>
          <w:p w:rsidR="00F01F22" w:rsidRDefault="002609A9">
            <w:r>
              <w:t>医保</w:t>
            </w:r>
            <w:r>
              <w:t>CHS</w:t>
            </w:r>
            <w:r>
              <w:rPr>
                <w:rFonts w:hint="eastAsia"/>
              </w:rPr>
              <w:t>-DRG</w:t>
            </w:r>
            <w:r>
              <w:t>费用分析服务</w:t>
            </w:r>
          </w:p>
        </w:tc>
        <w:tc>
          <w:tcPr>
            <w:tcW w:w="2318" w:type="dxa"/>
          </w:tcPr>
          <w:p w:rsidR="00F01F22" w:rsidRDefault="002609A9">
            <w:r>
              <w:rPr>
                <w:rFonts w:hint="eastAsia"/>
              </w:rPr>
              <w:t>1</w:t>
            </w:r>
          </w:p>
        </w:tc>
      </w:tr>
      <w:tr w:rsidR="00F01F22">
        <w:tc>
          <w:tcPr>
            <w:tcW w:w="1101" w:type="dxa"/>
          </w:tcPr>
          <w:p w:rsidR="00F01F22" w:rsidRDefault="002609A9">
            <w:r>
              <w:rPr>
                <w:rFonts w:hint="eastAsia"/>
              </w:rPr>
              <w:t>3</w:t>
            </w:r>
          </w:p>
        </w:tc>
        <w:tc>
          <w:tcPr>
            <w:tcW w:w="5103" w:type="dxa"/>
          </w:tcPr>
          <w:p w:rsidR="00F01F22" w:rsidRDefault="002609A9">
            <w:r>
              <w:t>医保结算清单质控上报服务</w:t>
            </w:r>
          </w:p>
        </w:tc>
        <w:tc>
          <w:tcPr>
            <w:tcW w:w="2318" w:type="dxa"/>
          </w:tcPr>
          <w:p w:rsidR="00F01F22" w:rsidRDefault="002609A9">
            <w:r>
              <w:rPr>
                <w:rFonts w:hint="eastAsia"/>
              </w:rPr>
              <w:t>1</w:t>
            </w:r>
          </w:p>
        </w:tc>
      </w:tr>
    </w:tbl>
    <w:p w:rsidR="00F01F22" w:rsidRDefault="002609A9">
      <w:r>
        <w:t>详细服务参数：</w:t>
      </w:r>
    </w:p>
    <w:tbl>
      <w:tblPr>
        <w:tblW w:w="5106" w:type="pct"/>
        <w:tblLayout w:type="fixed"/>
        <w:tblLook w:val="04A0" w:firstRow="1" w:lastRow="0" w:firstColumn="1" w:lastColumn="0" w:noHBand="0" w:noVBand="1"/>
      </w:tblPr>
      <w:tblGrid>
        <w:gridCol w:w="867"/>
        <w:gridCol w:w="700"/>
        <w:gridCol w:w="931"/>
        <w:gridCol w:w="1109"/>
        <w:gridCol w:w="5096"/>
      </w:tblGrid>
      <w:tr w:rsidR="00F01F22">
        <w:trPr>
          <w:trHeight w:val="285"/>
        </w:trPr>
        <w:tc>
          <w:tcPr>
            <w:tcW w:w="498" w:type="pct"/>
            <w:tcBorders>
              <w:top w:val="single" w:sz="8" w:space="0" w:color="000000"/>
              <w:left w:val="single" w:sz="8" w:space="0" w:color="000000"/>
              <w:bottom w:val="single" w:sz="8" w:space="0" w:color="000000"/>
              <w:right w:val="single" w:sz="8" w:space="0" w:color="000000"/>
            </w:tcBorders>
            <w:shd w:val="clear" w:color="auto" w:fill="BDD6EE"/>
            <w:vAlign w:val="center"/>
          </w:tcPr>
          <w:p w:rsidR="00F01F22" w:rsidRDefault="002609A9">
            <w:r>
              <w:rPr>
                <w:rFonts w:hint="eastAsia"/>
                <w:lang w:bidi="ar"/>
              </w:rPr>
              <w:t>序号</w:t>
            </w:r>
          </w:p>
        </w:tc>
        <w:tc>
          <w:tcPr>
            <w:tcW w:w="936" w:type="pct"/>
            <w:gridSpan w:val="2"/>
            <w:tcBorders>
              <w:top w:val="single" w:sz="8" w:space="0" w:color="000000"/>
              <w:left w:val="nil"/>
              <w:bottom w:val="single" w:sz="8" w:space="0" w:color="000000"/>
              <w:right w:val="single" w:sz="8" w:space="0" w:color="000000"/>
            </w:tcBorders>
            <w:shd w:val="clear" w:color="auto" w:fill="BDD6EE"/>
            <w:vAlign w:val="center"/>
          </w:tcPr>
          <w:p w:rsidR="00F01F22" w:rsidRDefault="002609A9">
            <w:r>
              <w:rPr>
                <w:rFonts w:hint="eastAsia"/>
                <w:lang w:bidi="ar"/>
              </w:rPr>
              <w:t>服务名称</w:t>
            </w:r>
          </w:p>
        </w:tc>
        <w:tc>
          <w:tcPr>
            <w:tcW w:w="637" w:type="pct"/>
            <w:tcBorders>
              <w:top w:val="single" w:sz="8" w:space="0" w:color="000000"/>
              <w:left w:val="nil"/>
              <w:bottom w:val="single" w:sz="8" w:space="0" w:color="000000"/>
              <w:right w:val="nil"/>
            </w:tcBorders>
            <w:shd w:val="clear" w:color="auto" w:fill="BDD6EE"/>
            <w:vAlign w:val="center"/>
          </w:tcPr>
          <w:p w:rsidR="00F01F22" w:rsidRDefault="002609A9">
            <w:r>
              <w:rPr>
                <w:rFonts w:hint="eastAsia"/>
                <w:lang w:bidi="ar"/>
              </w:rPr>
              <w:t>模块</w:t>
            </w:r>
          </w:p>
        </w:tc>
        <w:tc>
          <w:tcPr>
            <w:tcW w:w="2929" w:type="pct"/>
            <w:tcBorders>
              <w:top w:val="single" w:sz="8" w:space="0" w:color="000000"/>
              <w:left w:val="single" w:sz="8" w:space="0" w:color="000000"/>
              <w:bottom w:val="single" w:sz="8" w:space="0" w:color="000000"/>
              <w:right w:val="single" w:sz="8" w:space="0" w:color="000000"/>
            </w:tcBorders>
            <w:shd w:val="clear" w:color="auto" w:fill="BDD6EE"/>
            <w:vAlign w:val="center"/>
          </w:tcPr>
          <w:p w:rsidR="00F01F22" w:rsidRDefault="002609A9">
            <w:r>
              <w:rPr>
                <w:rFonts w:hint="eastAsia"/>
                <w:lang w:bidi="ar"/>
              </w:rPr>
              <w:t>产品服务说明</w:t>
            </w:r>
          </w:p>
        </w:tc>
      </w:tr>
      <w:tr w:rsidR="00F01F22">
        <w:trPr>
          <w:trHeight w:val="825"/>
        </w:trPr>
        <w:tc>
          <w:tcPr>
            <w:tcW w:w="49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2609A9">
            <w:r>
              <w:rPr>
                <w:rFonts w:hint="eastAsia"/>
                <w:lang w:bidi="ar"/>
              </w:rPr>
              <w:t>1</w:t>
            </w:r>
          </w:p>
        </w:tc>
        <w:tc>
          <w:tcPr>
            <w:tcW w:w="936" w:type="pct"/>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2609A9">
            <w:r>
              <w:rPr>
                <w:rFonts w:hint="eastAsia"/>
                <w:lang w:bidi="ar"/>
              </w:rPr>
              <w:t>医生事中质控和预分组服务（</w:t>
            </w:r>
            <w:r>
              <w:rPr>
                <w:rFonts w:hint="eastAsia"/>
                <w:lang w:bidi="ar"/>
              </w:rPr>
              <w:t>CHS-DRG</w:t>
            </w:r>
            <w:r>
              <w:rPr>
                <w:rFonts w:hint="eastAsia"/>
                <w:lang w:bidi="ar"/>
              </w:rPr>
              <w:t>）</w:t>
            </w:r>
          </w:p>
        </w:tc>
        <w:tc>
          <w:tcPr>
            <w:tcW w:w="637" w:type="pct"/>
            <w:vMerge w:val="restar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医生工作站实时分组</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▲通过获取医生填写的患者的诊疗信息进行模拟预测</w:t>
            </w:r>
            <w:r>
              <w:rPr>
                <w:rFonts w:hint="eastAsia"/>
                <w:lang w:bidi="ar"/>
              </w:rPr>
              <w:t>CHS-DRG</w:t>
            </w:r>
            <w:r>
              <w:rPr>
                <w:rFonts w:hint="eastAsia"/>
                <w:lang w:bidi="ar"/>
              </w:rPr>
              <w:t>分组，并且结合患者已经消耗的费用和该患者归属病组的付费标准进行对比分析，实时监测在院患者的病组费用消耗情况。</w:t>
            </w:r>
          </w:p>
        </w:tc>
      </w:tr>
      <w:tr w:rsidR="00F01F22">
        <w:trPr>
          <w:trHeight w:val="825"/>
        </w:trPr>
        <w:tc>
          <w:tcPr>
            <w:tcW w:w="49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医生助手：系统需实现与院内</w:t>
            </w:r>
            <w:r>
              <w:rPr>
                <w:rFonts w:hint="eastAsia"/>
                <w:lang w:bidi="ar"/>
              </w:rPr>
              <w:t>HIS</w:t>
            </w:r>
            <w:r>
              <w:rPr>
                <w:rFonts w:hint="eastAsia"/>
                <w:lang w:bidi="ar"/>
              </w:rPr>
              <w:t>系统的对接，提供医生助手，在医生工作站为临床医生提供包括分组预测、分组推荐、编码质控、非编码质控、病案评分等信息的展示。</w:t>
            </w:r>
          </w:p>
        </w:tc>
      </w:tr>
      <w:tr w:rsidR="00F01F22">
        <w:trPr>
          <w:trHeight w:val="1635"/>
        </w:trPr>
        <w:tc>
          <w:tcPr>
            <w:tcW w:w="49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分组预测提示功能模块可根据院内需求在不同位置、不同场景通过</w:t>
            </w:r>
            <w:r>
              <w:rPr>
                <w:rFonts w:hint="eastAsia"/>
                <w:lang w:bidi="ar"/>
              </w:rPr>
              <w:t>HIS</w:t>
            </w:r>
            <w:r>
              <w:rPr>
                <w:rFonts w:hint="eastAsia"/>
                <w:lang w:bidi="ar"/>
              </w:rPr>
              <w:t>进行调用，如患者入院、患者在院、患者离院、病案科编码，提示预分组结果、医保付费预测、倍率区间等信息；并提供当前病案与标杆值之间的对比情况，包括住院费用、平均住院日、药占比、耗材比等指标。可根据医师填写的病例诊断及手术信息智能推荐分组，并提示不同的诊断和手术方案下病例可能的分组结果及费用信息。</w:t>
            </w:r>
          </w:p>
        </w:tc>
      </w:tr>
      <w:tr w:rsidR="00F01F22">
        <w:trPr>
          <w:trHeight w:val="825"/>
        </w:trPr>
        <w:tc>
          <w:tcPr>
            <w:tcW w:w="49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其他入组分析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为更合理、有效的在院病人所有入组可能性，系统支持对医生填写的其他诊断编码进行轮询分组测算，系统显示不同其他诊断作为主要诊断的分组结果，为医</w:t>
            </w:r>
            <w:r>
              <w:rPr>
                <w:rFonts w:hint="eastAsia"/>
                <w:lang w:bidi="ar"/>
              </w:rPr>
              <w:lastRenderedPageBreak/>
              <w:t>生的诊断信息的填写，提供分组参考。</w:t>
            </w:r>
          </w:p>
        </w:tc>
      </w:tr>
      <w:tr w:rsidR="00F01F22">
        <w:trPr>
          <w:trHeight w:val="555"/>
        </w:trPr>
        <w:tc>
          <w:tcPr>
            <w:tcW w:w="49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637" w:type="pct"/>
            <w:vMerge w:val="restar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模拟分组</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为医生提供分组学习小工具，医生进行诊断、手术编码的调整、修改，系统通过内嵌的分组逻辑，显示相应分组结果。</w:t>
            </w:r>
          </w:p>
        </w:tc>
      </w:tr>
      <w:tr w:rsidR="00F01F22">
        <w:trPr>
          <w:trHeight w:val="825"/>
        </w:trPr>
        <w:tc>
          <w:tcPr>
            <w:tcW w:w="49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需提供</w:t>
            </w:r>
            <w:r>
              <w:rPr>
                <w:rFonts w:hint="eastAsia"/>
                <w:lang w:bidi="ar"/>
              </w:rPr>
              <w:t>DRG</w:t>
            </w:r>
            <w:r>
              <w:rPr>
                <w:rFonts w:hint="eastAsia"/>
                <w:lang w:bidi="ar"/>
              </w:rPr>
              <w:t>分组模拟功能，要求在医生或病案人员填写相关病例信息后，通过搜索对诊断和手术进行模糊匹配，点击诊断与手术，对主诊断、主要手术进行调整，查看模拟入组情况，支持按照权重和标杆费用选择查看其他入组排序情况。</w:t>
            </w:r>
          </w:p>
        </w:tc>
      </w:tr>
      <w:tr w:rsidR="00F01F22">
        <w:trPr>
          <w:trHeight w:val="555"/>
        </w:trPr>
        <w:tc>
          <w:tcPr>
            <w:tcW w:w="498"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2609A9">
            <w:r>
              <w:rPr>
                <w:rFonts w:hint="eastAsia"/>
                <w:lang w:bidi="ar"/>
              </w:rPr>
              <w:t>2</w:t>
            </w:r>
          </w:p>
        </w:tc>
        <w:tc>
          <w:tcPr>
            <w:tcW w:w="936" w:type="pct"/>
            <w:gridSpan w:val="2"/>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2609A9">
            <w:r>
              <w:rPr>
                <w:rFonts w:hint="eastAsia"/>
                <w:lang w:bidi="ar"/>
              </w:rPr>
              <w:t>医保</w:t>
            </w:r>
            <w:r>
              <w:rPr>
                <w:rFonts w:hint="eastAsia"/>
                <w:lang w:bidi="ar"/>
              </w:rPr>
              <w:t>CHS-DRG</w:t>
            </w:r>
            <w:r>
              <w:rPr>
                <w:rFonts w:hint="eastAsia"/>
                <w:lang w:bidi="ar"/>
              </w:rPr>
              <w:t>费用分析服务</w:t>
            </w:r>
          </w:p>
        </w:tc>
        <w:tc>
          <w:tcPr>
            <w:tcW w:w="637"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全院付费盈亏分析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支持查看指标全年历史数据变化趋势，支持同比。支付</w:t>
            </w:r>
            <w:r>
              <w:rPr>
                <w:rFonts w:hint="eastAsia"/>
                <w:lang w:bidi="ar"/>
              </w:rPr>
              <w:t>CHS-DRG</w:t>
            </w:r>
            <w:r>
              <w:rPr>
                <w:rFonts w:hint="eastAsia"/>
                <w:lang w:bidi="ar"/>
              </w:rPr>
              <w:t>分组器分组。</w:t>
            </w:r>
          </w:p>
        </w:tc>
      </w:tr>
      <w:tr w:rsidR="00F01F22">
        <w:trPr>
          <w:trHeight w:val="55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val="restar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费用结构分析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▲支持工作指标和费用指标全院、科室、病区、主诊组、医师数据逻辑下钻指标分析，同时支持病案详情、费用详情、主诊断详情、主手术详情查看</w:t>
            </w:r>
          </w:p>
        </w:tc>
      </w:tr>
      <w:tr w:rsidR="00F01F22">
        <w:trPr>
          <w:trHeight w:val="29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全面详细分析费用与同期值的对比情况，盈亏情况。</w:t>
            </w:r>
          </w:p>
        </w:tc>
      </w:tr>
      <w:tr w:rsidR="00F01F22">
        <w:trPr>
          <w:trHeight w:val="29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支持科主任、主任医师、主治医师、主诊医师、主手术医师的筛选查询。</w:t>
            </w:r>
          </w:p>
        </w:tc>
      </w:tr>
      <w:tr w:rsidR="00F01F22">
        <w:trPr>
          <w:trHeight w:val="55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病组盈亏分析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支持全院所有</w:t>
            </w:r>
            <w:r>
              <w:rPr>
                <w:rFonts w:hint="eastAsia"/>
                <w:lang w:bidi="ar"/>
              </w:rPr>
              <w:t>DRG</w:t>
            </w:r>
            <w:r>
              <w:rPr>
                <w:rFonts w:hint="eastAsia"/>
                <w:lang w:bidi="ar"/>
              </w:rPr>
              <w:t>组费用盈亏分析，支持数据逻辑下钻到主诊组、医师。</w:t>
            </w:r>
          </w:p>
        </w:tc>
      </w:tr>
      <w:tr w:rsidR="00F01F22">
        <w:trPr>
          <w:trHeight w:val="29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val="restar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科室盈亏分析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▲支持全院所有科室费用盈亏分析，支持数据逻辑下钻到主诊组、医师。</w:t>
            </w:r>
          </w:p>
        </w:tc>
      </w:tr>
      <w:tr w:rsidR="00F01F22">
        <w:trPr>
          <w:trHeight w:val="29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支持科室、主诊组、医师层级的</w:t>
            </w:r>
            <w:r>
              <w:rPr>
                <w:rFonts w:hint="eastAsia"/>
                <w:lang w:bidi="ar"/>
              </w:rPr>
              <w:t>DRG</w:t>
            </w:r>
            <w:r>
              <w:rPr>
                <w:rFonts w:hint="eastAsia"/>
                <w:lang w:bidi="ar"/>
              </w:rPr>
              <w:t>主盈亏分析。</w:t>
            </w:r>
          </w:p>
        </w:tc>
      </w:tr>
      <w:tr w:rsidR="00F01F22">
        <w:trPr>
          <w:trHeight w:val="55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val="restar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病种异动分析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支持全院</w:t>
            </w:r>
            <w:r>
              <w:rPr>
                <w:rFonts w:hint="eastAsia"/>
                <w:lang w:bidi="ar"/>
              </w:rPr>
              <w:t>DRG</w:t>
            </w:r>
            <w:r>
              <w:rPr>
                <w:rFonts w:hint="eastAsia"/>
                <w:lang w:bidi="ar"/>
              </w:rPr>
              <w:t>病种费用指标与工作指标与同期差异对比分析，异常数值红色标注显示。包含病组异动、药品异动病组、耗材异动病组、检查化验异动病组等。</w:t>
            </w:r>
          </w:p>
        </w:tc>
      </w:tr>
      <w:tr w:rsidR="00F01F22">
        <w:trPr>
          <w:trHeight w:val="29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noWrap/>
            <w:vAlign w:val="center"/>
          </w:tcPr>
          <w:p w:rsidR="00F01F22" w:rsidRDefault="00F01F22"/>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支持某一</w:t>
            </w:r>
            <w:r>
              <w:rPr>
                <w:rFonts w:hint="eastAsia"/>
                <w:lang w:bidi="ar"/>
              </w:rPr>
              <w:t>DRG</w:t>
            </w:r>
            <w:r>
              <w:rPr>
                <w:rFonts w:hint="eastAsia"/>
                <w:lang w:bidi="ar"/>
              </w:rPr>
              <w:t>病种与科室指标与医师指标比较。</w:t>
            </w:r>
          </w:p>
        </w:tc>
      </w:tr>
      <w:tr w:rsidR="00F01F22">
        <w:trPr>
          <w:trHeight w:val="55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科室异动分析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支持全院、科室指标差异统计分析，支持科室下钻到</w:t>
            </w:r>
            <w:r>
              <w:rPr>
                <w:rFonts w:hint="eastAsia"/>
                <w:lang w:bidi="ar"/>
              </w:rPr>
              <w:t>DRG</w:t>
            </w:r>
            <w:r>
              <w:rPr>
                <w:rFonts w:hint="eastAsia"/>
                <w:lang w:bidi="ar"/>
              </w:rPr>
              <w:t>组。</w:t>
            </w:r>
          </w:p>
        </w:tc>
      </w:tr>
      <w:tr w:rsidR="00F01F22">
        <w:trPr>
          <w:trHeight w:val="555"/>
        </w:trPr>
        <w:tc>
          <w:tcPr>
            <w:tcW w:w="498"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936" w:type="pct"/>
            <w:gridSpan w:val="2"/>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F01F22" w:rsidRDefault="00F01F22"/>
        </w:tc>
        <w:tc>
          <w:tcPr>
            <w:tcW w:w="637"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指标分析</w:t>
            </w:r>
          </w:p>
        </w:tc>
        <w:tc>
          <w:tcPr>
            <w:tcW w:w="2929" w:type="pct"/>
            <w:tcBorders>
              <w:top w:val="nil"/>
              <w:left w:val="nil"/>
              <w:bottom w:val="single" w:sz="8" w:space="0" w:color="000000"/>
              <w:right w:val="single" w:sz="8" w:space="0" w:color="000000"/>
            </w:tcBorders>
            <w:shd w:val="clear" w:color="auto" w:fill="auto"/>
            <w:noWrap/>
            <w:vAlign w:val="center"/>
          </w:tcPr>
          <w:p w:rsidR="00F01F22" w:rsidRDefault="002609A9">
            <w:r>
              <w:rPr>
                <w:rFonts w:hint="eastAsia"/>
                <w:lang w:bidi="ar"/>
              </w:rPr>
              <w:t>病组平均住院日、时间消耗指数、费用消耗指数、次均费用、住院费用构成分析（药占比、耗占比、医疗服务占比、检查检验占比等）</w:t>
            </w:r>
          </w:p>
        </w:tc>
      </w:tr>
      <w:tr w:rsidR="00F01F22">
        <w:trPr>
          <w:trHeight w:val="295"/>
        </w:trPr>
        <w:tc>
          <w:tcPr>
            <w:tcW w:w="498" w:type="pct"/>
            <w:vMerge w:val="restart"/>
            <w:tcBorders>
              <w:top w:val="nil"/>
              <w:left w:val="single" w:sz="8" w:space="0" w:color="000000"/>
              <w:bottom w:val="single" w:sz="8" w:space="0" w:color="000000"/>
              <w:right w:val="single" w:sz="8" w:space="0" w:color="000000"/>
            </w:tcBorders>
            <w:shd w:val="clear" w:color="auto" w:fill="auto"/>
            <w:vAlign w:val="center"/>
          </w:tcPr>
          <w:p w:rsidR="00F01F22" w:rsidRDefault="002609A9">
            <w:r>
              <w:rPr>
                <w:rFonts w:hint="eastAsia"/>
                <w:lang w:bidi="ar"/>
              </w:rPr>
              <w:t>3</w:t>
            </w:r>
          </w:p>
        </w:tc>
        <w:tc>
          <w:tcPr>
            <w:tcW w:w="402"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结算清单质控上报服务</w:t>
            </w:r>
          </w:p>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数据处理中心</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数据采集</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与医院现有</w:t>
            </w:r>
            <w:r>
              <w:rPr>
                <w:rFonts w:hint="eastAsia"/>
                <w:lang w:bidi="ar"/>
              </w:rPr>
              <w:t>HIS</w:t>
            </w:r>
            <w:r>
              <w:rPr>
                <w:rFonts w:hint="eastAsia"/>
                <w:lang w:bidi="ar"/>
              </w:rPr>
              <w:t>、电子病历或病案系统做接口，实现数据采集。</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数据清洗处理</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通过数据接口对从医院信息数据进行清洗处理，将非标准数据转换为规范化标准化数据。</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规则知识库</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规则库</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▲病案校验编码规则库强大，包含：病案基本信息、诊断与性别、诊断冲突、笼统诊断、主要诊断、手术与性别、手术冲突、合并手术、笼统手术等编码问题和手术诊断与费用等质控内容。</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质控概况</w:t>
            </w:r>
          </w:p>
        </w:tc>
        <w:tc>
          <w:tcPr>
            <w:tcW w:w="637"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清单质控总览概况</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总览医院整体清单质控情况，自定义选择时间段对清单质控数量、上报数量和未通过清单数进行预览与图表分析。</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vAlign w:val="center"/>
          </w:tcPr>
          <w:p w:rsidR="00F01F22" w:rsidRDefault="00F01F22"/>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从医院总体情况、完整性、逻辑性、医保分组质控等多个维度展示清单的质控情况</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DRG</w:t>
            </w:r>
            <w:r>
              <w:rPr>
                <w:rFonts w:hint="eastAsia"/>
                <w:lang w:bidi="ar"/>
              </w:rPr>
              <w:t>分组管理</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DRG</w:t>
            </w:r>
            <w:r>
              <w:rPr>
                <w:rFonts w:hint="eastAsia"/>
                <w:lang w:bidi="ar"/>
              </w:rPr>
              <w:t>分组</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为用户提供分组工具，支持查阅病案首页相关</w:t>
            </w:r>
            <w:r>
              <w:rPr>
                <w:rFonts w:hint="eastAsia"/>
                <w:lang w:bidi="ar"/>
              </w:rPr>
              <w:t>CHS-DRG</w:t>
            </w:r>
            <w:r>
              <w:rPr>
                <w:rFonts w:hint="eastAsia"/>
                <w:lang w:bidi="ar"/>
              </w:rPr>
              <w:t>分组结果，用户可以在该页面中清晰明了的看到该病案入组情况、相关</w:t>
            </w:r>
            <w:r>
              <w:rPr>
                <w:rFonts w:hint="eastAsia"/>
                <w:lang w:bidi="ar"/>
              </w:rPr>
              <w:t>DRG</w:t>
            </w:r>
            <w:r>
              <w:rPr>
                <w:rFonts w:hint="eastAsia"/>
                <w:lang w:bidi="ar"/>
              </w:rPr>
              <w:t>病组标杆费用以及当前病案费用消耗与标杆费用对比分析情况。</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DRG</w:t>
            </w:r>
            <w:r>
              <w:rPr>
                <w:rFonts w:hint="eastAsia"/>
                <w:lang w:bidi="ar"/>
              </w:rPr>
              <w:t>分组测试</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支持模拟分组功能，用户可在分组测试中修改诊断信息后，查看新的</w:t>
            </w:r>
            <w:r>
              <w:rPr>
                <w:rFonts w:hint="eastAsia"/>
                <w:lang w:bidi="ar"/>
              </w:rPr>
              <w:t>DRG</w:t>
            </w:r>
            <w:r>
              <w:rPr>
                <w:rFonts w:hint="eastAsia"/>
                <w:lang w:bidi="ar"/>
              </w:rPr>
              <w:t>相关入组情况分析。</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DRG</w:t>
            </w:r>
            <w:r>
              <w:rPr>
                <w:rFonts w:hint="eastAsia"/>
                <w:lang w:bidi="ar"/>
              </w:rPr>
              <w:t>预分组分析</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科室预分组付费分析</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▲病案数据在上报之前，系统支持全院所有科室病案入组盈亏分析，支持数据下钻到每一份病案，并查看具体质控和入组情况。</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科室入组统计分析</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病案数据在上报之前，系统支持查看全院所有科室病案入组率情况，并支持数据下钻到下一级科室、医师或相关</w:t>
            </w:r>
            <w:r>
              <w:rPr>
                <w:rFonts w:hint="eastAsia"/>
                <w:lang w:bidi="ar"/>
              </w:rPr>
              <w:t>DRG</w:t>
            </w:r>
            <w:r>
              <w:rPr>
                <w:rFonts w:hint="eastAsia"/>
                <w:lang w:bidi="ar"/>
              </w:rPr>
              <w:t>组和病案。</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科室未入组统计分析</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病案数据在上报之前，系统支持查看全院所有科室病案未入组情况，并支持数据下钻到下一级科室、医师和病案，对未入组病案深层次分析。</w:t>
            </w:r>
          </w:p>
        </w:tc>
      </w:tr>
      <w:tr w:rsidR="00F01F22">
        <w:trPr>
          <w:trHeight w:val="29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数据上报</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数据上报</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▲支持对接相关业务系统进行数据上报。</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科室数据上报分析</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支持对所有科室病案数据上报情况分析。</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查询</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病案信息查询</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支持多种病案查询方式，可以简单根据出院时间进行病案收据查询，也可以按照病案首页信息内容进行高级病案数据检索。</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字典查询</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为方便进行院内病案首页相关数据与标准病案首页数据要求进行对比，支持</w:t>
            </w:r>
            <w:r>
              <w:rPr>
                <w:rFonts w:hint="eastAsia"/>
                <w:lang w:bidi="ar"/>
              </w:rPr>
              <w:t>ICD10</w:t>
            </w:r>
            <w:r>
              <w:rPr>
                <w:rFonts w:hint="eastAsia"/>
                <w:lang w:bidi="ar"/>
              </w:rPr>
              <w:t>编码、</w:t>
            </w:r>
            <w:r>
              <w:rPr>
                <w:rFonts w:hint="eastAsia"/>
                <w:lang w:bidi="ar"/>
              </w:rPr>
              <w:t>ICD9</w:t>
            </w:r>
            <w:r>
              <w:rPr>
                <w:rFonts w:hint="eastAsia"/>
                <w:lang w:bidi="ar"/>
              </w:rPr>
              <w:t>编码、离院方式、切合愈合、入院病情等多种标准字典表查询功能。</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质控报告</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病历质控报告</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支持按照医院</w:t>
            </w:r>
            <w:r>
              <w:rPr>
                <w:rFonts w:hint="eastAsia"/>
                <w:lang w:bidi="ar"/>
              </w:rPr>
              <w:t>/</w:t>
            </w:r>
            <w:r>
              <w:rPr>
                <w:rFonts w:hint="eastAsia"/>
                <w:lang w:bidi="ar"/>
              </w:rPr>
              <w:t>上传批次等进行统计分析，生成质控报告</w:t>
            </w:r>
          </w:p>
        </w:tc>
      </w:tr>
      <w:tr w:rsidR="00F01F22">
        <w:trPr>
          <w:trHeight w:val="29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医保结算清单质控上报服务</w:t>
            </w:r>
          </w:p>
        </w:tc>
        <w:tc>
          <w:tcPr>
            <w:tcW w:w="637" w:type="pct"/>
            <w:vMerge w:val="restar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结算清单质控</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支持医保结算清单的批量质控和单个病例的质控，并支持文件的导出。</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vAlign w:val="center"/>
          </w:tcPr>
          <w:p w:rsidR="00F01F22" w:rsidRDefault="00F01F22"/>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支持单个病例的质控查看和医保结算清单的编辑，修改完善和病例分析，问题列表展示。</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vAlign w:val="center"/>
          </w:tcPr>
          <w:p w:rsidR="00F01F22" w:rsidRDefault="00F01F22"/>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支持自定义时间段全数据出现过的问题，显示包括出现各类问题清单数，各问题类型错误数量，科室数据情况等一系列关键数据指标，帮助用户一目了然清晰了解当前数据情况及数据质量变化情况。</w:t>
            </w:r>
          </w:p>
        </w:tc>
      </w:tr>
      <w:tr w:rsidR="00F01F22">
        <w:trPr>
          <w:trHeight w:val="29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vMerge/>
            <w:tcBorders>
              <w:top w:val="nil"/>
              <w:left w:val="nil"/>
              <w:bottom w:val="single" w:sz="8" w:space="0" w:color="000000"/>
              <w:right w:val="single" w:sz="8" w:space="0" w:color="000000"/>
            </w:tcBorders>
            <w:shd w:val="clear" w:color="auto" w:fill="auto"/>
            <w:vAlign w:val="center"/>
          </w:tcPr>
          <w:p w:rsidR="00F01F22" w:rsidRDefault="00F01F22"/>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支持展现问题列表准确定位质控问题。</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清单质控结果分析</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▲支持全院各科室质控结果分析，问题列表和问题数量分析。帮助可科室梳理本科室医保结算清单质控结果。</w:t>
            </w:r>
          </w:p>
        </w:tc>
      </w:tr>
      <w:tr w:rsidR="00F01F22">
        <w:trPr>
          <w:trHeight w:val="55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医保清单预分组</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在医保结算清单自动生成结束后，将对其进行医保</w:t>
            </w:r>
            <w:r>
              <w:rPr>
                <w:rFonts w:hint="eastAsia"/>
                <w:lang w:bidi="ar"/>
              </w:rPr>
              <w:t xml:space="preserve"> </w:t>
            </w:r>
            <w:r>
              <w:rPr>
                <w:rFonts w:hint="eastAsia"/>
                <w:lang w:bidi="ar"/>
              </w:rPr>
              <w:t>DRG</w:t>
            </w:r>
            <w:r>
              <w:rPr>
                <w:rFonts w:hint="eastAsia"/>
                <w:lang w:bidi="ar"/>
              </w:rPr>
              <w:t>预分组。</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vMerge/>
            <w:tcBorders>
              <w:top w:val="nil"/>
              <w:left w:val="nil"/>
              <w:bottom w:val="single" w:sz="8" w:space="0" w:color="000000"/>
              <w:right w:val="single" w:sz="8" w:space="0" w:color="000000"/>
            </w:tcBorders>
            <w:shd w:val="clear" w:color="auto" w:fill="auto"/>
            <w:vAlign w:val="center"/>
          </w:tcPr>
          <w:p w:rsidR="00F01F22" w:rsidRDefault="00F01F22"/>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医保结算清单实时质控</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让医生在上报前直接可以看到清单医保预入组结果及其数据质量表现，帮助用户在医保结算清单上发现问题，解决问题，并尽可能在上报医保前提升数据质量。</w:t>
            </w:r>
          </w:p>
        </w:tc>
      </w:tr>
      <w:tr w:rsidR="00F01F22">
        <w:trPr>
          <w:trHeight w:val="825"/>
        </w:trPr>
        <w:tc>
          <w:tcPr>
            <w:tcW w:w="498" w:type="pct"/>
            <w:vMerge/>
            <w:tcBorders>
              <w:top w:val="nil"/>
              <w:left w:val="single" w:sz="8" w:space="0" w:color="000000"/>
              <w:bottom w:val="single" w:sz="8" w:space="0" w:color="000000"/>
              <w:right w:val="single" w:sz="8" w:space="0" w:color="000000"/>
            </w:tcBorders>
            <w:shd w:val="clear" w:color="auto" w:fill="auto"/>
            <w:vAlign w:val="center"/>
          </w:tcPr>
          <w:p w:rsidR="00F01F22" w:rsidRDefault="00F01F22"/>
        </w:tc>
        <w:tc>
          <w:tcPr>
            <w:tcW w:w="402" w:type="pct"/>
            <w:vMerge/>
            <w:tcBorders>
              <w:top w:val="nil"/>
              <w:left w:val="nil"/>
              <w:bottom w:val="single" w:sz="8" w:space="0" w:color="000000"/>
              <w:right w:val="single" w:sz="8" w:space="0" w:color="000000"/>
            </w:tcBorders>
            <w:shd w:val="clear" w:color="auto" w:fill="auto"/>
            <w:vAlign w:val="center"/>
          </w:tcPr>
          <w:p w:rsidR="00F01F22" w:rsidRDefault="00F01F22"/>
        </w:tc>
        <w:tc>
          <w:tcPr>
            <w:tcW w:w="535"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管理设置</w:t>
            </w:r>
          </w:p>
        </w:tc>
        <w:tc>
          <w:tcPr>
            <w:tcW w:w="637"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医生、科室等信息管理</w:t>
            </w:r>
          </w:p>
        </w:tc>
        <w:tc>
          <w:tcPr>
            <w:tcW w:w="2929" w:type="pct"/>
            <w:tcBorders>
              <w:top w:val="nil"/>
              <w:left w:val="nil"/>
              <w:bottom w:val="single" w:sz="8" w:space="0" w:color="000000"/>
              <w:right w:val="single" w:sz="8" w:space="0" w:color="000000"/>
            </w:tcBorders>
            <w:shd w:val="clear" w:color="auto" w:fill="auto"/>
            <w:vAlign w:val="center"/>
          </w:tcPr>
          <w:p w:rsidR="00F01F22" w:rsidRDefault="002609A9">
            <w:r>
              <w:rPr>
                <w:rFonts w:hint="eastAsia"/>
                <w:lang w:bidi="ar"/>
              </w:rPr>
              <w:t>支持医生、医生科室、科室等信息的对照管理设置。</w:t>
            </w:r>
          </w:p>
        </w:tc>
      </w:tr>
    </w:tbl>
    <w:p w:rsidR="00F01F22" w:rsidRDefault="00F01F22"/>
    <w:p w:rsidR="00F01F22" w:rsidRDefault="002609A9">
      <w:pPr>
        <w:pStyle w:val="a"/>
      </w:pPr>
      <w:bookmarkStart w:id="3" w:name="_Toc107999035"/>
      <w:r>
        <w:t>评分标准</w:t>
      </w:r>
      <w:bookmarkEnd w:id="3"/>
    </w:p>
    <w:p w:rsidR="00F01F22" w:rsidRDefault="002609A9">
      <w:r>
        <w:rPr>
          <w:rFonts w:hint="eastAsia"/>
        </w:rPr>
        <w:t>本次评标采用综合评分法。</w:t>
      </w:r>
    </w:p>
    <w:p w:rsidR="00F01F22" w:rsidRDefault="002609A9">
      <w:r>
        <w:rPr>
          <w:rFonts w:hint="eastAsia"/>
        </w:rPr>
        <w:t>（一）本次招标采用综合评分法进行评标，即投标文件满足招标文件全部实质性要求且按照评审因素的量化指标评审得分最高的供应商为中标候选人的评标方法。</w:t>
      </w:r>
    </w:p>
    <w:p w:rsidR="00F01F22" w:rsidRDefault="002609A9">
      <w:r>
        <w:rPr>
          <w:rFonts w:hint="eastAsia"/>
        </w:rPr>
        <w:t>（二）本次评审分为价格与技术商务两个部分（共</w:t>
      </w:r>
      <w:r>
        <w:rPr>
          <w:rFonts w:hint="eastAsia"/>
        </w:rPr>
        <w:t>100</w:t>
      </w:r>
      <w:r>
        <w:rPr>
          <w:rFonts w:hint="eastAsia"/>
        </w:rPr>
        <w:t>分），评标委员会由评审专家和采购人代表组成。投标企业的投标报价由采购中心工作人员协助评审专家和采购人代表进行计算统计，按照评分细则给出相应的分值；技术部分根据投标企业的技术参数、方案、业绩、服务等由评审专家和采购人代表逐项分别进行比较和评价，按照评分细则给出相应的分值。</w:t>
      </w:r>
    </w:p>
    <w:tbl>
      <w:tblPr>
        <w:tblW w:w="8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062"/>
        <w:gridCol w:w="1220"/>
        <w:gridCol w:w="4639"/>
      </w:tblGrid>
      <w:tr w:rsidR="00F01F22">
        <w:trPr>
          <w:cantSplit/>
          <w:trHeight w:val="238"/>
          <w:jc w:val="center"/>
        </w:trPr>
        <w:tc>
          <w:tcPr>
            <w:tcW w:w="131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分值</w:t>
            </w:r>
          </w:p>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小项分值</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评分项目</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评分内容</w:t>
            </w:r>
          </w:p>
        </w:tc>
      </w:tr>
      <w:tr w:rsidR="00F01F22">
        <w:trPr>
          <w:cantSplit/>
          <w:trHeight w:val="238"/>
          <w:jc w:val="center"/>
        </w:trPr>
        <w:tc>
          <w:tcPr>
            <w:tcW w:w="131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价格评分</w:t>
            </w:r>
          </w:p>
          <w:p w:rsidR="00F01F22" w:rsidRDefault="002609A9">
            <w:r>
              <w:rPr>
                <w:rFonts w:hint="eastAsia"/>
              </w:rPr>
              <w:t>（</w:t>
            </w:r>
            <w:r>
              <w:rPr>
                <w:rFonts w:hint="eastAsia"/>
              </w:rPr>
              <w:t>10</w:t>
            </w:r>
            <w:r>
              <w:rPr>
                <w:rFonts w:hint="eastAsia"/>
              </w:rPr>
              <w:t>分）</w:t>
            </w:r>
          </w:p>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10</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投标报价</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价格分</w:t>
            </w:r>
            <w:r>
              <w:t>,</w:t>
            </w:r>
            <w:r>
              <w:rPr>
                <w:rFonts w:hint="eastAsia"/>
              </w:rPr>
              <w:t>标准如下：</w:t>
            </w:r>
          </w:p>
          <w:p w:rsidR="00F01F22" w:rsidRDefault="002609A9">
            <w:r>
              <w:rPr>
                <w:rFonts w:hint="eastAsia"/>
              </w:rPr>
              <w:t>投标报价得分＝（评标基准价</w:t>
            </w:r>
            <w:r>
              <w:t>/</w:t>
            </w:r>
            <w:r>
              <w:rPr>
                <w:rFonts w:hint="eastAsia"/>
              </w:rPr>
              <w:t>投标报价）</w:t>
            </w:r>
            <w:r>
              <w:t>×</w:t>
            </w:r>
            <w:r>
              <w:rPr>
                <w:rFonts w:hint="eastAsia"/>
              </w:rPr>
              <w:t>价格权值</w:t>
            </w:r>
            <w:r>
              <w:t>×100%</w:t>
            </w:r>
          </w:p>
          <w:p w:rsidR="00F01F22" w:rsidRDefault="002609A9">
            <w:r>
              <w:rPr>
                <w:rFonts w:hint="eastAsia"/>
              </w:rPr>
              <w:t>（注：满足招标文件要求且投标价格最低的投标报价为评标基准价。）</w:t>
            </w:r>
          </w:p>
        </w:tc>
      </w:tr>
      <w:tr w:rsidR="00F01F22">
        <w:trPr>
          <w:cantSplit/>
          <w:trHeight w:val="238"/>
          <w:jc w:val="center"/>
        </w:trPr>
        <w:tc>
          <w:tcPr>
            <w:tcW w:w="131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lastRenderedPageBreak/>
              <w:t>服务参数评分</w:t>
            </w:r>
          </w:p>
          <w:p w:rsidR="00F01F22" w:rsidRDefault="002609A9">
            <w:r>
              <w:rPr>
                <w:rFonts w:hint="eastAsia"/>
              </w:rPr>
              <w:t>(40</w:t>
            </w:r>
            <w:r>
              <w:rPr>
                <w:rFonts w:hint="eastAsia"/>
              </w:rPr>
              <w:t>分</w:t>
            </w:r>
            <w:r>
              <w:rPr>
                <w:rFonts w:hint="eastAsia"/>
              </w:rPr>
              <w:t>)</w:t>
            </w:r>
          </w:p>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40</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服务需求响应</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对照招标文件中服务参数要求，根据投标文件的响应程度进行评分，满足招标文件所有服务参数条款，服务参数无偏离的得满分</w:t>
            </w:r>
            <w:r>
              <w:rPr>
                <w:rFonts w:hint="eastAsia"/>
              </w:rPr>
              <w:t>30</w:t>
            </w:r>
            <w:r>
              <w:rPr>
                <w:rFonts w:hint="eastAsia"/>
              </w:rPr>
              <w:t>分；</w:t>
            </w:r>
          </w:p>
          <w:p w:rsidR="00F01F22" w:rsidRDefault="002609A9">
            <w:r>
              <w:rPr>
                <w:rFonts w:hint="eastAsia"/>
              </w:rPr>
              <w:t>1</w:t>
            </w:r>
            <w:r>
              <w:rPr>
                <w:rFonts w:hint="eastAsia"/>
              </w:rPr>
              <w:t>）每出现</w:t>
            </w:r>
            <w:r>
              <w:rPr>
                <w:rFonts w:hint="eastAsia"/>
              </w:rPr>
              <w:t>1</w:t>
            </w:r>
            <w:r>
              <w:rPr>
                <w:rFonts w:hint="eastAsia"/>
              </w:rPr>
              <w:t>项“▲”号服务参数不满足招标文件要求，扣</w:t>
            </w:r>
            <w:r>
              <w:rPr>
                <w:rFonts w:hint="eastAsia"/>
              </w:rPr>
              <w:t>2</w:t>
            </w:r>
            <w:r>
              <w:rPr>
                <w:rFonts w:hint="eastAsia"/>
              </w:rPr>
              <w:t>分，扣完为止；带“▲”号项的需提供界面截图。</w:t>
            </w:r>
          </w:p>
          <w:p w:rsidR="00F01F22" w:rsidRDefault="002609A9">
            <w:r>
              <w:rPr>
                <w:rFonts w:hint="eastAsia"/>
              </w:rPr>
              <w:t>2</w:t>
            </w:r>
            <w:r>
              <w:rPr>
                <w:rFonts w:hint="eastAsia"/>
              </w:rPr>
              <w:t>）每出现</w:t>
            </w:r>
            <w:r>
              <w:rPr>
                <w:rFonts w:hint="eastAsia"/>
              </w:rPr>
              <w:t>1</w:t>
            </w:r>
            <w:r>
              <w:rPr>
                <w:rFonts w:hint="eastAsia"/>
              </w:rPr>
              <w:t>项非“▲”号服务参数不满足招标文件要求，扣</w:t>
            </w:r>
            <w:r>
              <w:rPr>
                <w:rFonts w:hint="eastAsia"/>
              </w:rPr>
              <w:t>0.5</w:t>
            </w:r>
            <w:r>
              <w:rPr>
                <w:rFonts w:hint="eastAsia"/>
              </w:rPr>
              <w:t>分，扣完为止；</w:t>
            </w:r>
          </w:p>
          <w:p w:rsidR="00F01F22" w:rsidRDefault="002609A9">
            <w:r>
              <w:rPr>
                <w:rFonts w:hint="eastAsia"/>
              </w:rPr>
              <w:t>对于★号的项目，不满足的做废标处理；</w:t>
            </w:r>
          </w:p>
        </w:tc>
      </w:tr>
      <w:tr w:rsidR="00F01F22">
        <w:trPr>
          <w:cantSplit/>
          <w:trHeight w:val="238"/>
          <w:jc w:val="center"/>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商务评分（</w:t>
            </w:r>
            <w:r>
              <w:rPr>
                <w:rFonts w:hint="eastAsia"/>
              </w:rPr>
              <w:t>50</w:t>
            </w:r>
            <w:r>
              <w:rPr>
                <w:rFonts w:hint="eastAsia"/>
              </w:rPr>
              <w:t>分）</w:t>
            </w:r>
          </w:p>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7</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项目建设经验</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制造商近</w:t>
            </w:r>
            <w:r>
              <w:rPr>
                <w:rFonts w:hint="eastAsia"/>
              </w:rPr>
              <w:t>2020</w:t>
            </w:r>
            <w:r>
              <w:rPr>
                <w:rFonts w:hint="eastAsia"/>
              </w:rPr>
              <w:t>年至今具备同类</w:t>
            </w:r>
            <w:r>
              <w:rPr>
                <w:rFonts w:hint="eastAsia"/>
              </w:rPr>
              <w:t>DRG</w:t>
            </w:r>
            <w:r>
              <w:rPr>
                <w:rFonts w:hint="eastAsia"/>
              </w:rPr>
              <w:t>产品在三级医院应用业绩（审核依据为合同或任务书复印件加盖制造商公章），每提供</w:t>
            </w:r>
            <w:r>
              <w:rPr>
                <w:rFonts w:hint="eastAsia"/>
              </w:rPr>
              <w:t>1</w:t>
            </w:r>
            <w:r>
              <w:rPr>
                <w:rFonts w:hint="eastAsia"/>
              </w:rPr>
              <w:t>项证明文件，得</w:t>
            </w:r>
            <w:r>
              <w:rPr>
                <w:rFonts w:hint="eastAsia"/>
              </w:rPr>
              <w:t>1</w:t>
            </w:r>
            <w:r>
              <w:rPr>
                <w:rFonts w:hint="eastAsia"/>
              </w:rPr>
              <w:t>分，最高计</w:t>
            </w:r>
            <w:r>
              <w:rPr>
                <w:rFonts w:hint="eastAsia"/>
              </w:rPr>
              <w:t>5</w:t>
            </w:r>
            <w:r>
              <w:rPr>
                <w:rFonts w:hint="eastAsia"/>
              </w:rPr>
              <w:t>分。</w:t>
            </w:r>
          </w:p>
          <w:p w:rsidR="00F01F22" w:rsidRDefault="002609A9">
            <w:r>
              <w:rPr>
                <w:rFonts w:hint="eastAsia"/>
              </w:rPr>
              <w:t>制造商具备</w:t>
            </w:r>
            <w:r>
              <w:rPr>
                <w:rFonts w:hint="eastAsia"/>
              </w:rPr>
              <w:t>DRG</w:t>
            </w:r>
            <w:r>
              <w:rPr>
                <w:rFonts w:hint="eastAsia"/>
              </w:rPr>
              <w:t>在医院有课题研究合作案例，国家级医学中心案例得</w:t>
            </w:r>
            <w:r>
              <w:rPr>
                <w:rFonts w:hint="eastAsia"/>
              </w:rPr>
              <w:t>2</w:t>
            </w:r>
            <w:r>
              <w:rPr>
                <w:rFonts w:hint="eastAsia"/>
              </w:rPr>
              <w:t>分，没有提供的不计分。</w:t>
            </w:r>
          </w:p>
          <w:p w:rsidR="00F01F22" w:rsidRDefault="002609A9">
            <w:r>
              <w:rPr>
                <w:rFonts w:hint="eastAsia"/>
              </w:rPr>
              <w:t>备注：</w:t>
            </w:r>
            <w:r>
              <w:rPr>
                <w:rFonts w:hint="eastAsia"/>
              </w:rPr>
              <w:t>(1)</w:t>
            </w:r>
            <w:r>
              <w:rPr>
                <w:rFonts w:hint="eastAsia"/>
              </w:rPr>
              <w:t>合同内容须至少包括合同首页、建设内容页及签字盖章页。</w:t>
            </w:r>
          </w:p>
        </w:tc>
      </w:tr>
      <w:tr w:rsidR="00F01F22">
        <w:trPr>
          <w:cantSplit/>
          <w:trHeight w:val="238"/>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01F22" w:rsidRDefault="00F01F22"/>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10</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制造商整体实力的评价</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制造商具有</w:t>
            </w:r>
            <w:r>
              <w:rPr>
                <w:rFonts w:hint="eastAsia"/>
              </w:rPr>
              <w:t>DRG</w:t>
            </w:r>
            <w:r>
              <w:rPr>
                <w:rFonts w:hint="eastAsia"/>
              </w:rPr>
              <w:t>、</w:t>
            </w:r>
            <w:r>
              <w:rPr>
                <w:rFonts w:hint="eastAsia"/>
              </w:rPr>
              <w:t>DIP</w:t>
            </w:r>
            <w:r>
              <w:rPr>
                <w:rFonts w:hint="eastAsia"/>
              </w:rPr>
              <w:t>和医保智能审核（飞检）解决方案相关证书的得</w:t>
            </w:r>
            <w:r>
              <w:rPr>
                <w:rFonts w:hint="eastAsia"/>
              </w:rPr>
              <w:t>5</w:t>
            </w:r>
            <w:r>
              <w:rPr>
                <w:rFonts w:hint="eastAsia"/>
              </w:rPr>
              <w:t>分，没有不得分。</w:t>
            </w:r>
          </w:p>
          <w:p w:rsidR="00F01F22" w:rsidRDefault="002609A9">
            <w:r>
              <w:rPr>
                <w:rFonts w:hint="eastAsia"/>
              </w:rPr>
              <w:t>制造商具有质控、智能编码与临床决策一体化解决方案相关证书的得</w:t>
            </w:r>
            <w:r>
              <w:rPr>
                <w:rFonts w:hint="eastAsia"/>
              </w:rPr>
              <w:t>5</w:t>
            </w:r>
            <w:r>
              <w:rPr>
                <w:rFonts w:hint="eastAsia"/>
              </w:rPr>
              <w:t>分，没有不得分。</w:t>
            </w:r>
          </w:p>
        </w:tc>
      </w:tr>
      <w:tr w:rsidR="00F01F22">
        <w:trPr>
          <w:cantSplit/>
          <w:trHeight w:val="238"/>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01F22" w:rsidRDefault="00F01F22"/>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9</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著作权</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制造商具有所投</w:t>
            </w:r>
            <w:r>
              <w:rPr>
                <w:rFonts w:hint="eastAsia"/>
              </w:rPr>
              <w:t>DRG</w:t>
            </w:r>
            <w:r>
              <w:rPr>
                <w:rFonts w:hint="eastAsia"/>
              </w:rPr>
              <w:t>费用相关、</w:t>
            </w:r>
            <w:r>
              <w:rPr>
                <w:rFonts w:hint="eastAsia"/>
              </w:rPr>
              <w:t>DRG</w:t>
            </w:r>
            <w:r>
              <w:rPr>
                <w:rFonts w:hint="eastAsia"/>
              </w:rPr>
              <w:t>质控相关、</w:t>
            </w:r>
            <w:r>
              <w:rPr>
                <w:rFonts w:hint="eastAsia"/>
              </w:rPr>
              <w:t>DRG</w:t>
            </w:r>
            <w:r>
              <w:rPr>
                <w:rFonts w:hint="eastAsia"/>
              </w:rPr>
              <w:t>医保智审相关、</w:t>
            </w:r>
            <w:r>
              <w:rPr>
                <w:rFonts w:hint="eastAsia"/>
              </w:rPr>
              <w:t>DRG</w:t>
            </w:r>
            <w:r>
              <w:rPr>
                <w:rFonts w:hint="eastAsia"/>
              </w:rPr>
              <w:t>数据清洗、</w:t>
            </w:r>
            <w:r>
              <w:rPr>
                <w:rFonts w:hint="eastAsia"/>
              </w:rPr>
              <w:t>DRG</w:t>
            </w:r>
            <w:r>
              <w:rPr>
                <w:rFonts w:hint="eastAsia"/>
              </w:rPr>
              <w:t>临床路径相关、</w:t>
            </w:r>
            <w:r>
              <w:rPr>
                <w:rFonts w:hint="eastAsia"/>
              </w:rPr>
              <w:t>DRGs</w:t>
            </w:r>
            <w:r>
              <w:rPr>
                <w:rFonts w:hint="eastAsia"/>
              </w:rPr>
              <w:t>产品小程序相关、</w:t>
            </w:r>
            <w:r>
              <w:rPr>
                <w:rFonts w:hint="eastAsia"/>
              </w:rPr>
              <w:t>DRGs</w:t>
            </w:r>
            <w:r>
              <w:rPr>
                <w:rFonts w:hint="eastAsia"/>
              </w:rPr>
              <w:t>智能编码辅助、</w:t>
            </w:r>
            <w:r>
              <w:rPr>
                <w:rFonts w:hint="eastAsia"/>
              </w:rPr>
              <w:t>DRG</w:t>
            </w:r>
            <w:r>
              <w:rPr>
                <w:rFonts w:cs="宋体" w:hint="eastAsia"/>
              </w:rPr>
              <w:t>医院高质量发展监管平台、</w:t>
            </w:r>
            <w:r>
              <w:rPr>
                <w:rFonts w:cs="宋体" w:hint="eastAsia"/>
              </w:rPr>
              <w:t>DRG</w:t>
            </w:r>
            <w:r>
              <w:rPr>
                <w:rFonts w:cs="宋体" w:hint="eastAsia"/>
              </w:rPr>
              <w:t>医院运营管理平台</w:t>
            </w:r>
            <w:r>
              <w:rPr>
                <w:rFonts w:hint="eastAsia"/>
              </w:rPr>
              <w:t>自主版权的软件著作权证书，每提供</w:t>
            </w:r>
            <w:r>
              <w:rPr>
                <w:rFonts w:hint="eastAsia"/>
              </w:rPr>
              <w:t>1</w:t>
            </w:r>
            <w:r>
              <w:rPr>
                <w:rFonts w:hint="eastAsia"/>
              </w:rPr>
              <w:t>项证明文件得</w:t>
            </w:r>
            <w:r>
              <w:rPr>
                <w:rFonts w:hint="eastAsia"/>
              </w:rPr>
              <w:t>1</w:t>
            </w:r>
            <w:r>
              <w:rPr>
                <w:rFonts w:hint="eastAsia"/>
              </w:rPr>
              <w:t>分，最高分值</w:t>
            </w:r>
            <w:r>
              <w:rPr>
                <w:rFonts w:hint="eastAsia"/>
              </w:rPr>
              <w:t>9</w:t>
            </w:r>
            <w:r>
              <w:rPr>
                <w:rFonts w:hint="eastAsia"/>
              </w:rPr>
              <w:t>分。</w:t>
            </w:r>
          </w:p>
          <w:p w:rsidR="00F01F22" w:rsidRDefault="002609A9">
            <w:r>
              <w:rPr>
                <w:rFonts w:hint="eastAsia"/>
              </w:rPr>
              <w:t>（版权所有人必须与制造商公司名称完全相符</w:t>
            </w:r>
            <w:r>
              <w:rPr>
                <w:rFonts w:hint="eastAsia"/>
              </w:rPr>
              <w:t>,</w:t>
            </w:r>
            <w:r>
              <w:rPr>
                <w:rFonts w:hint="eastAsia"/>
              </w:rPr>
              <w:t>提供版权复印件加盖制造商公章，否则不得分）</w:t>
            </w:r>
          </w:p>
        </w:tc>
      </w:tr>
      <w:tr w:rsidR="00F01F22">
        <w:trPr>
          <w:cantSplit/>
          <w:trHeight w:val="238"/>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01F22" w:rsidRDefault="00F01F22"/>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6</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项目人员</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制造商</w:t>
            </w:r>
            <w:r>
              <w:rPr>
                <w:rFonts w:hint="eastAsia"/>
                <w:lang w:bidi="ar"/>
              </w:rPr>
              <w:t>项目组服务人员素质情况：</w:t>
            </w:r>
          </w:p>
          <w:p w:rsidR="00F01F22" w:rsidRDefault="002609A9">
            <w:pPr>
              <w:pStyle w:val="af"/>
              <w:numPr>
                <w:ilvl w:val="0"/>
                <w:numId w:val="3"/>
              </w:numPr>
              <w:ind w:firstLineChars="0"/>
              <w:rPr>
                <w:lang w:bidi="ar"/>
              </w:rPr>
            </w:pPr>
            <w:r>
              <w:rPr>
                <w:rFonts w:hint="eastAsia"/>
                <w:lang w:bidi="ar"/>
              </w:rPr>
              <w:t>项目负责人具有《信息系统项目管理师》证书，得</w:t>
            </w:r>
            <w:r>
              <w:rPr>
                <w:lang w:bidi="ar"/>
              </w:rPr>
              <w:t>1</w:t>
            </w:r>
            <w:r>
              <w:rPr>
                <w:rFonts w:hint="eastAsia"/>
                <w:lang w:bidi="ar"/>
              </w:rPr>
              <w:t>分，没有不得分。（需提供证书复印件加盖制造商公章）</w:t>
            </w:r>
          </w:p>
          <w:p w:rsidR="00F01F22" w:rsidRDefault="002609A9">
            <w:r>
              <w:rPr>
                <w:rFonts w:hint="eastAsia"/>
                <w:lang w:bidi="ar"/>
              </w:rPr>
              <w:t>2</w:t>
            </w:r>
            <w:r>
              <w:rPr>
                <w:rFonts w:hint="eastAsia"/>
                <w:lang w:bidi="ar"/>
              </w:rPr>
              <w:t>）项目负责人具有同类项目建设经验的，每提供一个得</w:t>
            </w:r>
            <w:r>
              <w:rPr>
                <w:lang w:bidi="ar"/>
              </w:rPr>
              <w:t>1</w:t>
            </w:r>
            <w:r>
              <w:rPr>
                <w:rFonts w:hint="eastAsia"/>
                <w:lang w:bidi="ar"/>
              </w:rPr>
              <w:t>分，最高得</w:t>
            </w:r>
            <w:r>
              <w:rPr>
                <w:rFonts w:hint="eastAsia"/>
                <w:lang w:bidi="ar"/>
              </w:rPr>
              <w:t>2</w:t>
            </w:r>
            <w:r>
              <w:rPr>
                <w:rFonts w:hint="eastAsia"/>
                <w:lang w:bidi="ar"/>
              </w:rPr>
              <w:t>分，没有不得分。（需提供项目验收单或合同有负责人签字并加盖制造商公章）</w:t>
            </w:r>
          </w:p>
          <w:p w:rsidR="00F01F22" w:rsidRDefault="002609A9">
            <w:pPr>
              <w:rPr>
                <w:lang w:bidi="ar"/>
              </w:rPr>
            </w:pPr>
            <w:r>
              <w:rPr>
                <w:rFonts w:hint="eastAsia"/>
                <w:lang w:bidi="ar"/>
              </w:rPr>
              <w:t>3</w:t>
            </w:r>
            <w:r>
              <w:rPr>
                <w:rFonts w:hint="eastAsia"/>
                <w:lang w:bidi="ar"/>
              </w:rPr>
              <w:t>）项目成员具有《项目管理专业人员资格认证（</w:t>
            </w:r>
            <w:r>
              <w:rPr>
                <w:lang w:bidi="ar"/>
              </w:rPr>
              <w:t>PMP</w:t>
            </w:r>
            <w:r>
              <w:rPr>
                <w:rFonts w:hint="eastAsia"/>
                <w:lang w:bidi="ar"/>
              </w:rPr>
              <w:t>）》证书，得</w:t>
            </w:r>
            <w:r>
              <w:rPr>
                <w:lang w:bidi="ar"/>
              </w:rPr>
              <w:t>1</w:t>
            </w:r>
            <w:r>
              <w:rPr>
                <w:rFonts w:hint="eastAsia"/>
                <w:lang w:bidi="ar"/>
              </w:rPr>
              <w:t>分，没有不得分。</w:t>
            </w:r>
          </w:p>
          <w:p w:rsidR="00F01F22" w:rsidRDefault="002609A9">
            <w:pPr>
              <w:rPr>
                <w:lang w:bidi="ar"/>
              </w:rPr>
            </w:pPr>
            <w:r>
              <w:rPr>
                <w:rFonts w:hint="eastAsia"/>
                <w:lang w:bidi="ar"/>
              </w:rPr>
              <w:t>4</w:t>
            </w:r>
            <w:r>
              <w:rPr>
                <w:rFonts w:hint="eastAsia"/>
                <w:lang w:bidi="ar"/>
              </w:rPr>
              <w:t>）项目成员具有《系统集成项目管理工程师》证书的，每一个得</w:t>
            </w:r>
            <w:r>
              <w:rPr>
                <w:lang w:bidi="ar"/>
              </w:rPr>
              <w:t>1</w:t>
            </w:r>
            <w:r>
              <w:rPr>
                <w:rFonts w:hint="eastAsia"/>
                <w:lang w:bidi="ar"/>
              </w:rPr>
              <w:t>分，最高得</w:t>
            </w:r>
            <w:r>
              <w:rPr>
                <w:lang w:bidi="ar"/>
              </w:rPr>
              <w:t>2</w:t>
            </w:r>
            <w:r>
              <w:rPr>
                <w:rFonts w:hint="eastAsia"/>
                <w:lang w:bidi="ar"/>
              </w:rPr>
              <w:t>分，没有不得分。（需提供证书复印件加盖制造商公章）</w:t>
            </w:r>
          </w:p>
          <w:p w:rsidR="00F01F22" w:rsidRDefault="002609A9">
            <w:r>
              <w:rPr>
                <w:rFonts w:hint="eastAsia"/>
                <w:lang w:bidi="ar"/>
              </w:rPr>
              <w:t>以上须提供符合上述要求人员的相关资质证书复印件及近一年任意一个月内在投标人或投标人所投制造商参保的社保缴费证明复印件，相同人员的证书不重复计分。</w:t>
            </w:r>
          </w:p>
        </w:tc>
      </w:tr>
      <w:tr w:rsidR="00F01F22">
        <w:trPr>
          <w:cantSplit/>
          <w:trHeight w:val="238"/>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01F22" w:rsidRDefault="00F01F22"/>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3</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认证证书</w:t>
            </w:r>
          </w:p>
        </w:tc>
        <w:tc>
          <w:tcPr>
            <w:tcW w:w="4637"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制造商</w:t>
            </w:r>
            <w:r>
              <w:rPr>
                <w:rFonts w:hint="eastAsia"/>
                <w:lang w:val="zh-TW" w:eastAsia="zh-TW" w:bidi="zh-TW"/>
              </w:rPr>
              <w:t>具有</w:t>
            </w:r>
            <w:r>
              <w:rPr>
                <w:rFonts w:hint="eastAsia"/>
                <w:lang w:bidi="zh-TW"/>
              </w:rPr>
              <w:t>信</w:t>
            </w:r>
            <w:r>
              <w:rPr>
                <w:rFonts w:hint="eastAsia"/>
                <w:lang w:val="zh-TW" w:eastAsia="zh-TW" w:bidi="zh-TW"/>
              </w:rPr>
              <w:t>息技术</w:t>
            </w:r>
            <w:r>
              <w:rPr>
                <w:rFonts w:hint="eastAsia"/>
                <w:lang w:bidi="zh-TW"/>
              </w:rPr>
              <w:t>服</w:t>
            </w:r>
            <w:r>
              <w:rPr>
                <w:rFonts w:hint="eastAsia"/>
                <w:lang w:val="zh-TW" w:eastAsia="zh-TW" w:bidi="zh-TW"/>
              </w:rPr>
              <w:t>务管理体系认证</w:t>
            </w:r>
            <w:r>
              <w:rPr>
                <w:rFonts w:hint="eastAsia"/>
                <w:lang w:val="zh-TW" w:bidi="zh-TW"/>
              </w:rPr>
              <w:t>，信息安全管理体系认证证书，质量管理体系认证证书</w:t>
            </w:r>
            <w:r>
              <w:rPr>
                <w:rFonts w:hint="eastAsia"/>
                <w:lang w:val="zh-TW" w:eastAsia="zh-TW" w:bidi="zh-TW"/>
              </w:rPr>
              <w:t>须提供证书复印件（盖公章</w:t>
            </w:r>
            <w:r>
              <w:rPr>
                <w:rFonts w:hint="eastAsia"/>
                <w:lang w:val="zh-TW" w:bidi="zh-TW"/>
              </w:rPr>
              <w:t>）</w:t>
            </w:r>
            <w:r>
              <w:rPr>
                <w:rFonts w:hint="eastAsia"/>
                <w:lang w:val="zh-TW" w:eastAsia="zh-TW" w:bidi="zh-TW"/>
              </w:rPr>
              <w:t xml:space="preserve"> </w:t>
            </w:r>
            <w:r>
              <w:rPr>
                <w:rFonts w:hint="eastAsia"/>
                <w:lang w:bidi="zh-TW"/>
              </w:rPr>
              <w:t>提</w:t>
            </w:r>
            <w:r>
              <w:rPr>
                <w:rFonts w:hint="eastAsia"/>
                <w:lang w:val="zh-TW" w:eastAsia="zh-TW" w:bidi="zh-TW"/>
              </w:rPr>
              <w:t>供</w:t>
            </w:r>
            <w:r>
              <w:rPr>
                <w:rFonts w:hint="eastAsia"/>
                <w:lang w:val="zh-TW" w:eastAsia="zh-TW" w:bidi="zh-TW"/>
              </w:rPr>
              <w:t>1</w:t>
            </w:r>
            <w:r>
              <w:rPr>
                <w:rFonts w:hint="eastAsia"/>
                <w:lang w:val="zh-TW" w:eastAsia="zh-TW" w:bidi="zh-TW"/>
              </w:rPr>
              <w:t>项得</w:t>
            </w:r>
            <w:r>
              <w:rPr>
                <w:rFonts w:hint="eastAsia"/>
                <w:lang w:val="zh-TW" w:eastAsia="zh-TW" w:bidi="zh-TW"/>
              </w:rPr>
              <w:t>1</w:t>
            </w:r>
            <w:r>
              <w:rPr>
                <w:rFonts w:hint="eastAsia"/>
                <w:lang w:val="zh-TW" w:eastAsia="zh-TW" w:bidi="zh-TW"/>
              </w:rPr>
              <w:t>分，满分</w:t>
            </w:r>
            <w:r>
              <w:rPr>
                <w:rFonts w:hint="eastAsia"/>
                <w:lang w:bidi="zh-TW"/>
              </w:rPr>
              <w:t>3</w:t>
            </w:r>
            <w:r>
              <w:rPr>
                <w:rFonts w:hint="eastAsia"/>
                <w:lang w:val="zh-TW" w:eastAsia="zh-TW" w:bidi="zh-TW"/>
              </w:rPr>
              <w:t>分。提供证书复印件（</w:t>
            </w:r>
            <w:r>
              <w:rPr>
                <w:rFonts w:hint="eastAsia"/>
                <w:lang w:bidi="zh-TW"/>
              </w:rPr>
              <w:t>盖公章）</w:t>
            </w:r>
          </w:p>
        </w:tc>
      </w:tr>
      <w:tr w:rsidR="00F01F22">
        <w:trPr>
          <w:cantSplit/>
          <w:trHeight w:val="238"/>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01F22" w:rsidRDefault="00F01F22"/>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12</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服务方案</w:t>
            </w:r>
          </w:p>
        </w:tc>
        <w:tc>
          <w:tcPr>
            <w:tcW w:w="4637" w:type="dxa"/>
            <w:tcBorders>
              <w:top w:val="single" w:sz="4" w:space="0" w:color="auto"/>
              <w:left w:val="single" w:sz="4" w:space="0" w:color="auto"/>
              <w:bottom w:val="single" w:sz="4" w:space="0" w:color="auto"/>
              <w:right w:val="single" w:sz="4" w:space="0" w:color="auto"/>
            </w:tcBorders>
          </w:tcPr>
          <w:p w:rsidR="00F01F22" w:rsidRDefault="002609A9">
            <w:pPr>
              <w:pStyle w:val="Normal1"/>
              <w:spacing w:line="360" w:lineRule="auto"/>
              <w:ind w:firstLineChars="200" w:firstLine="420"/>
              <w:rPr>
                <w:rFonts w:ascii="宋体" w:hAnsi="宋体" w:cs="宋体"/>
                <w:sz w:val="21"/>
                <w:szCs w:val="21"/>
              </w:rPr>
            </w:pPr>
            <w:r>
              <w:rPr>
                <w:rFonts w:ascii="宋体" w:hAnsi="宋体" w:cs="宋体" w:hint="eastAsia"/>
                <w:sz w:val="21"/>
                <w:szCs w:val="21"/>
              </w:rPr>
              <w:t>对本次招标服务内容与医院现有信息系统的对接服务方案与预期效果进行阐述，对方案的合理性、医院业务的平滑过渡性、历史数据的有效利用性应用，</w:t>
            </w:r>
            <w:r>
              <w:rPr>
                <w:rFonts w:ascii="宋体" w:hAnsi="宋体" w:cs="宋体" w:hint="eastAsia"/>
                <w:sz w:val="21"/>
                <w:szCs w:val="21"/>
              </w:rPr>
              <w:t>DRG</w:t>
            </w:r>
            <w:r>
              <w:rPr>
                <w:rFonts w:ascii="宋体" w:hAnsi="宋体" w:cs="宋体" w:hint="eastAsia"/>
                <w:sz w:val="21"/>
                <w:szCs w:val="21"/>
              </w:rPr>
              <w:t>、病案管理高质量发展建设体系一站式、一体化几个方面进行横向比较。</w:t>
            </w:r>
          </w:p>
          <w:p w:rsidR="00F01F22" w:rsidRDefault="002609A9">
            <w:pPr>
              <w:pStyle w:val="Normal1"/>
              <w:spacing w:line="360" w:lineRule="auto"/>
              <w:ind w:firstLineChars="200"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、服务方案清晰、内容全面、对方案的合理性、医院业务的平滑过渡性、历史数据的有效利用性应用，</w:t>
            </w:r>
            <w:r>
              <w:rPr>
                <w:rFonts w:ascii="宋体" w:hAnsi="宋体" w:cs="宋体" w:hint="eastAsia"/>
                <w:sz w:val="21"/>
                <w:szCs w:val="21"/>
              </w:rPr>
              <w:t>DRG</w:t>
            </w:r>
            <w:r>
              <w:rPr>
                <w:rFonts w:ascii="宋体" w:hAnsi="宋体" w:cs="宋体" w:hint="eastAsia"/>
                <w:sz w:val="21"/>
                <w:szCs w:val="21"/>
              </w:rPr>
              <w:t>、病案管理高质量发展建设体系一站</w:t>
            </w:r>
            <w:r>
              <w:rPr>
                <w:rFonts w:ascii="宋体" w:hAnsi="宋体" w:cs="宋体" w:hint="eastAsia"/>
                <w:sz w:val="21"/>
                <w:szCs w:val="21"/>
              </w:rPr>
              <w:t>式、一体化方案的得</w:t>
            </w:r>
            <w:r>
              <w:rPr>
                <w:rFonts w:ascii="宋体" w:hAnsi="宋体" w:cs="宋体" w:hint="eastAsia"/>
                <w:sz w:val="21"/>
                <w:szCs w:val="21"/>
              </w:rPr>
              <w:t>12</w:t>
            </w:r>
            <w:r>
              <w:rPr>
                <w:rFonts w:ascii="宋体" w:hAnsi="宋体" w:cs="宋体" w:hint="eastAsia"/>
                <w:sz w:val="21"/>
                <w:szCs w:val="21"/>
              </w:rPr>
              <w:t>分；</w:t>
            </w:r>
          </w:p>
          <w:p w:rsidR="00F01F22" w:rsidRDefault="002609A9">
            <w:pPr>
              <w:pStyle w:val="Normal1"/>
              <w:spacing w:line="360" w:lineRule="auto"/>
              <w:ind w:firstLineChars="200"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、服务方案较清晰、内容较全面、对方案的合理性、医院业务的平滑过渡性、历史数据的有效利用性应用，</w:t>
            </w:r>
            <w:r>
              <w:rPr>
                <w:rFonts w:ascii="宋体" w:hAnsi="宋体" w:cs="宋体" w:hint="eastAsia"/>
                <w:sz w:val="21"/>
                <w:szCs w:val="21"/>
              </w:rPr>
              <w:t>DRG</w:t>
            </w:r>
            <w:r>
              <w:rPr>
                <w:rFonts w:ascii="宋体" w:hAnsi="宋体" w:cs="宋体" w:hint="eastAsia"/>
                <w:sz w:val="21"/>
                <w:szCs w:val="21"/>
              </w:rPr>
              <w:t>、病案管理高质量发展建设体系一站式、一体化方案的得</w:t>
            </w:r>
            <w:r>
              <w:rPr>
                <w:rFonts w:ascii="宋体" w:hAnsi="宋体" w:cs="宋体" w:hint="eastAsia"/>
                <w:sz w:val="21"/>
                <w:szCs w:val="21"/>
              </w:rPr>
              <w:t>8</w:t>
            </w:r>
            <w:r>
              <w:rPr>
                <w:rFonts w:ascii="宋体" w:hAnsi="宋体" w:cs="宋体" w:hint="eastAsia"/>
                <w:sz w:val="21"/>
                <w:szCs w:val="21"/>
              </w:rPr>
              <w:t>分；</w:t>
            </w:r>
          </w:p>
          <w:p w:rsidR="00F01F22" w:rsidRDefault="002609A9">
            <w:pPr>
              <w:pStyle w:val="Normal1"/>
              <w:spacing w:line="360" w:lineRule="auto"/>
              <w:ind w:firstLineChars="200"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、服务方案及内容不全面、对方案的合理性、医院业务的平滑过渡性、历史数据的有效利用性应用，</w:t>
            </w:r>
            <w:r>
              <w:rPr>
                <w:rFonts w:ascii="宋体" w:hAnsi="宋体" w:cs="宋体" w:hint="eastAsia"/>
                <w:sz w:val="21"/>
                <w:szCs w:val="21"/>
              </w:rPr>
              <w:t>DRG</w:t>
            </w:r>
            <w:r>
              <w:rPr>
                <w:rFonts w:ascii="宋体" w:hAnsi="宋体" w:cs="宋体" w:hint="eastAsia"/>
                <w:sz w:val="21"/>
                <w:szCs w:val="21"/>
              </w:rPr>
              <w:t>、病案管理高质量发展建设体系一站式、一体化方案的得</w:t>
            </w:r>
            <w:r>
              <w:rPr>
                <w:rFonts w:ascii="宋体" w:hAnsi="宋体" w:cs="宋体" w:hint="eastAsia"/>
                <w:sz w:val="21"/>
                <w:szCs w:val="21"/>
              </w:rPr>
              <w:t>4</w:t>
            </w:r>
            <w:r>
              <w:rPr>
                <w:rFonts w:ascii="宋体" w:hAnsi="宋体" w:cs="宋体" w:hint="eastAsia"/>
                <w:sz w:val="21"/>
                <w:szCs w:val="21"/>
              </w:rPr>
              <w:t>分；</w:t>
            </w:r>
          </w:p>
          <w:p w:rsidR="00F01F22" w:rsidRDefault="002609A9">
            <w:r>
              <w:rPr>
                <w:rFonts w:hint="eastAsia"/>
              </w:rPr>
              <w:t>4</w:t>
            </w:r>
            <w:r>
              <w:rPr>
                <w:rFonts w:hint="eastAsia"/>
              </w:rPr>
              <w:t>、未提供的得</w:t>
            </w:r>
            <w:r>
              <w:rPr>
                <w:rFonts w:hint="eastAsia"/>
              </w:rPr>
              <w:t>0</w:t>
            </w:r>
            <w:r>
              <w:rPr>
                <w:rFonts w:hint="eastAsia"/>
              </w:rPr>
              <w:t>分。</w:t>
            </w:r>
          </w:p>
        </w:tc>
      </w:tr>
      <w:tr w:rsidR="00F01F22">
        <w:trPr>
          <w:cantSplit/>
          <w:trHeight w:val="238"/>
          <w:jc w:val="center"/>
        </w:trPr>
        <w:tc>
          <w:tcPr>
            <w:tcW w:w="1310" w:type="dxa"/>
            <w:vMerge/>
            <w:tcBorders>
              <w:top w:val="single" w:sz="4" w:space="0" w:color="auto"/>
              <w:left w:val="single" w:sz="4" w:space="0" w:color="auto"/>
              <w:bottom w:val="single" w:sz="4" w:space="0" w:color="auto"/>
              <w:right w:val="single" w:sz="4" w:space="0" w:color="auto"/>
            </w:tcBorders>
            <w:vAlign w:val="center"/>
          </w:tcPr>
          <w:p w:rsidR="00F01F22" w:rsidRDefault="00F01F22"/>
        </w:tc>
        <w:tc>
          <w:tcPr>
            <w:tcW w:w="1062"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3</w:t>
            </w:r>
          </w:p>
        </w:tc>
        <w:tc>
          <w:tcPr>
            <w:tcW w:w="1220" w:type="dxa"/>
            <w:tcBorders>
              <w:top w:val="single" w:sz="4" w:space="0" w:color="auto"/>
              <w:left w:val="single" w:sz="4" w:space="0" w:color="auto"/>
              <w:bottom w:val="single" w:sz="4" w:space="0" w:color="auto"/>
              <w:right w:val="single" w:sz="4" w:space="0" w:color="auto"/>
            </w:tcBorders>
            <w:vAlign w:val="center"/>
          </w:tcPr>
          <w:p w:rsidR="00F01F22" w:rsidRDefault="002609A9">
            <w:r>
              <w:rPr>
                <w:rFonts w:hint="eastAsia"/>
              </w:rPr>
              <w:t>运维服务</w:t>
            </w:r>
          </w:p>
        </w:tc>
        <w:tc>
          <w:tcPr>
            <w:tcW w:w="4637" w:type="dxa"/>
            <w:tcBorders>
              <w:top w:val="single" w:sz="4" w:space="0" w:color="auto"/>
              <w:left w:val="single" w:sz="4" w:space="0" w:color="auto"/>
              <w:bottom w:val="single" w:sz="4" w:space="0" w:color="auto"/>
              <w:right w:val="single" w:sz="4" w:space="0" w:color="auto"/>
            </w:tcBorders>
          </w:tcPr>
          <w:p w:rsidR="00F01F22" w:rsidRDefault="002609A9">
            <w:r>
              <w:rPr>
                <w:rFonts w:hint="eastAsia"/>
              </w:rPr>
              <w:t>运维体系完善，措施有力，服务支持能力强，服务响应快，响应程度高得</w:t>
            </w:r>
            <w:r>
              <w:rPr>
                <w:rFonts w:hint="eastAsia"/>
              </w:rPr>
              <w:t>3</w:t>
            </w:r>
            <w:r>
              <w:rPr>
                <w:rFonts w:hint="eastAsia"/>
              </w:rPr>
              <w:t>分；</w:t>
            </w:r>
          </w:p>
          <w:p w:rsidR="00F01F22" w:rsidRDefault="002609A9">
            <w:r>
              <w:rPr>
                <w:rFonts w:hint="eastAsia"/>
              </w:rPr>
              <w:t>运维体系较完善，措施较有力，服务支持能力较强，响应较快得</w:t>
            </w:r>
            <w:r>
              <w:rPr>
                <w:rFonts w:hint="eastAsia"/>
              </w:rPr>
              <w:t>2</w:t>
            </w:r>
            <w:r>
              <w:rPr>
                <w:rFonts w:hint="eastAsia"/>
              </w:rPr>
              <w:t>分；</w:t>
            </w:r>
          </w:p>
          <w:p w:rsidR="00F01F22" w:rsidRDefault="002609A9">
            <w:r>
              <w:rPr>
                <w:rFonts w:hint="eastAsia"/>
              </w:rPr>
              <w:t>运维体系一般，措施一般，服务支持能力和响应速度较差或一般得</w:t>
            </w:r>
            <w:r>
              <w:rPr>
                <w:rFonts w:hint="eastAsia"/>
              </w:rPr>
              <w:t>1</w:t>
            </w:r>
            <w:r>
              <w:rPr>
                <w:rFonts w:hint="eastAsia"/>
              </w:rPr>
              <w:t>分。</w:t>
            </w:r>
          </w:p>
          <w:p w:rsidR="00F01F22" w:rsidRDefault="002609A9">
            <w:r>
              <w:rPr>
                <w:rFonts w:hint="eastAsia"/>
              </w:rPr>
              <w:t>未提供的得</w:t>
            </w:r>
            <w:r>
              <w:rPr>
                <w:rFonts w:hint="eastAsia"/>
              </w:rPr>
              <w:t>0</w:t>
            </w:r>
            <w:r>
              <w:rPr>
                <w:rFonts w:hint="eastAsia"/>
              </w:rPr>
              <w:t>分。</w:t>
            </w:r>
          </w:p>
        </w:tc>
      </w:tr>
    </w:tbl>
    <w:p w:rsidR="00F01F22" w:rsidRDefault="00F01F22"/>
    <w:p w:rsidR="00F01F22" w:rsidRDefault="00F01F22"/>
    <w:sectPr w:rsidR="00F01F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A9" w:rsidRDefault="002609A9">
      <w:pPr>
        <w:spacing w:line="240" w:lineRule="auto"/>
      </w:pPr>
      <w:r>
        <w:separator/>
      </w:r>
    </w:p>
  </w:endnote>
  <w:endnote w:type="continuationSeparator" w:id="0">
    <w:p w:rsidR="002609A9" w:rsidRDefault="00260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22" w:rsidRDefault="002609A9">
    <w:pPr>
      <w:pStyle w:val="a9"/>
    </w:pPr>
    <w:r>
      <w:fldChar w:fldCharType="begin"/>
    </w:r>
    <w:r>
      <w:instrText xml:space="preserve">PAGE   </w:instrText>
    </w:r>
    <w:r>
      <w:instrText>\* MERGEFORMAT</w:instrText>
    </w:r>
    <w:r>
      <w:fldChar w:fldCharType="separate"/>
    </w:r>
    <w:r w:rsidR="00956618" w:rsidRPr="00956618">
      <w:rPr>
        <w:noProof/>
        <w:lang w:val="zh-CN"/>
      </w:rPr>
      <w:t>1</w:t>
    </w:r>
    <w:r>
      <w:fldChar w:fldCharType="end"/>
    </w:r>
  </w:p>
  <w:p w:rsidR="00F01F22" w:rsidRDefault="00F01F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A9" w:rsidRDefault="002609A9">
      <w:r>
        <w:separator/>
      </w:r>
    </w:p>
  </w:footnote>
  <w:footnote w:type="continuationSeparator" w:id="0">
    <w:p w:rsidR="002609A9" w:rsidRDefault="00260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
      <w:lvlText w:val="%1"/>
      <w:lvlJc w:val="left"/>
      <w:pPr>
        <w:ind w:left="0" w:firstLine="0"/>
      </w:pPr>
      <w:rPr>
        <w:rFonts w:eastAsia="宋体" w:hint="eastAsia"/>
        <w:b/>
        <w:i w:val="0"/>
      </w:rPr>
    </w:lvl>
    <w:lvl w:ilvl="1">
      <w:start w:val="1"/>
      <w:numFmt w:val="decimal"/>
      <w:pStyle w:val="a0"/>
      <w:lvlText w:val="%1.%2"/>
      <w:lvlJc w:val="left"/>
      <w:pPr>
        <w:ind w:left="0" w:firstLine="0"/>
      </w:pPr>
      <w:rPr>
        <w:rFonts w:hint="eastAsia"/>
      </w:rPr>
    </w:lvl>
    <w:lvl w:ilvl="2">
      <w:start w:val="1"/>
      <w:numFmt w:val="decimal"/>
      <w:pStyle w:val="a1"/>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00000002"/>
    <w:multiLevelType w:val="multilevel"/>
    <w:tmpl w:val="00000002"/>
    <w:lvl w:ilvl="0">
      <w:start w:val="1"/>
      <w:numFmt w:val="decimal"/>
      <w:isLgl/>
      <w:lvlText w:val="%1"/>
      <w:lvlJc w:val="left"/>
      <w:pPr>
        <w:ind w:left="0" w:firstLine="0"/>
      </w:pPr>
      <w:rPr>
        <w:rFonts w:eastAsia="黑体" w:hint="eastAsia"/>
        <w:b/>
        <w:i w:val="0"/>
        <w:sz w:val="36"/>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pStyle w:val="a2"/>
      <w:isLgl/>
      <w:lvlText w:val="%1.%3.%2.%4"/>
      <w:lvlJc w:val="left"/>
      <w:rPr>
        <w:rFonts w:eastAsia="宋体" w:hint="eastAsia"/>
        <w:b/>
        <w:bCs w:val="0"/>
        <w:i w:val="0"/>
        <w:iCs w:val="0"/>
        <w:caps w:val="0"/>
        <w:color w:val="000000"/>
        <w:spacing w:val="0"/>
        <w:position w:val="0"/>
        <w:sz w:val="28"/>
        <w:u w:val="none"/>
        <w:vertAlign w:val="baseline"/>
        <w14:shadow w14:blurRad="0" w14:dist="0" w14:dir="0" w14:sx="0" w14:sy="0" w14:kx="0" w14:ky="0" w14:algn="none">
          <w14:srgbClr w14:val="000000"/>
        </w14:shadow>
        <w14:ligatures w14:val="none"/>
        <w14:numForm w14:val="default"/>
        <w14:numSpacing w14:val="default"/>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nsid w:val="4CE538A4"/>
    <w:multiLevelType w:val="multilevel"/>
    <w:tmpl w:val="4CE538A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TU1MGIyODhkMzkyY2I0NmRmNTNmMTJmYmEyOGIifQ=="/>
  </w:docVars>
  <w:rsids>
    <w:rsidRoot w:val="00B432A7"/>
    <w:rsid w:val="00103470"/>
    <w:rsid w:val="0014029B"/>
    <w:rsid w:val="001E0B64"/>
    <w:rsid w:val="002142C8"/>
    <w:rsid w:val="002609A9"/>
    <w:rsid w:val="00296FD1"/>
    <w:rsid w:val="002A1C70"/>
    <w:rsid w:val="002E40E1"/>
    <w:rsid w:val="0031522D"/>
    <w:rsid w:val="00372752"/>
    <w:rsid w:val="00386F85"/>
    <w:rsid w:val="003B6A84"/>
    <w:rsid w:val="00427E05"/>
    <w:rsid w:val="00445680"/>
    <w:rsid w:val="00487AE9"/>
    <w:rsid w:val="004C2DAC"/>
    <w:rsid w:val="006D0D40"/>
    <w:rsid w:val="006F57FF"/>
    <w:rsid w:val="0078406F"/>
    <w:rsid w:val="007E3CC8"/>
    <w:rsid w:val="00850C3B"/>
    <w:rsid w:val="00856FC8"/>
    <w:rsid w:val="008826AC"/>
    <w:rsid w:val="008E0EB0"/>
    <w:rsid w:val="009111B1"/>
    <w:rsid w:val="009147F6"/>
    <w:rsid w:val="00933DE5"/>
    <w:rsid w:val="00956618"/>
    <w:rsid w:val="009A77F0"/>
    <w:rsid w:val="009B7C81"/>
    <w:rsid w:val="009D139A"/>
    <w:rsid w:val="009E3315"/>
    <w:rsid w:val="00A355C6"/>
    <w:rsid w:val="00AA5F5D"/>
    <w:rsid w:val="00B432A7"/>
    <w:rsid w:val="00B77778"/>
    <w:rsid w:val="00BD44DD"/>
    <w:rsid w:val="00BE6E02"/>
    <w:rsid w:val="00BF3E56"/>
    <w:rsid w:val="00BF4654"/>
    <w:rsid w:val="00C43D15"/>
    <w:rsid w:val="00C56AA3"/>
    <w:rsid w:val="00C92973"/>
    <w:rsid w:val="00DE5DDE"/>
    <w:rsid w:val="00E95B0D"/>
    <w:rsid w:val="00EA652E"/>
    <w:rsid w:val="00EB12A7"/>
    <w:rsid w:val="00F01F22"/>
    <w:rsid w:val="00F13150"/>
    <w:rsid w:val="00F34455"/>
    <w:rsid w:val="00F547DE"/>
    <w:rsid w:val="00F8644D"/>
    <w:rsid w:val="00FB19BB"/>
    <w:rsid w:val="00FE7245"/>
    <w:rsid w:val="00FF4F67"/>
    <w:rsid w:val="01D65A1D"/>
    <w:rsid w:val="03A04F32"/>
    <w:rsid w:val="03E955C5"/>
    <w:rsid w:val="083941DB"/>
    <w:rsid w:val="26392A2B"/>
    <w:rsid w:val="2D291EE5"/>
    <w:rsid w:val="386C41A1"/>
    <w:rsid w:val="3A9B0073"/>
    <w:rsid w:val="3B6837B3"/>
    <w:rsid w:val="43D10926"/>
    <w:rsid w:val="730F3432"/>
    <w:rsid w:val="75D9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nhideWhenUsed="0"/>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utoRedefine/>
    <w:qFormat/>
    <w:pPr>
      <w:spacing w:line="360" w:lineRule="auto"/>
      <w:textAlignment w:val="center"/>
    </w:pPr>
    <w:rPr>
      <w:rFonts w:ascii="宋体" w:hAnsi="宋体"/>
      <w:bCs/>
      <w:color w:val="000000"/>
      <w:sz w:val="21"/>
      <w:szCs w:val="21"/>
    </w:rPr>
  </w:style>
  <w:style w:type="paragraph" w:styleId="1">
    <w:name w:val="heading 1"/>
    <w:basedOn w:val="a3"/>
    <w:next w:val="a3"/>
    <w:link w:val="1Char"/>
    <w:autoRedefine/>
    <w:uiPriority w:val="9"/>
    <w:qFormat/>
    <w:pPr>
      <w:keepNext/>
      <w:keepLines/>
      <w:spacing w:before="340" w:after="330" w:line="578" w:lineRule="auto"/>
      <w:outlineLvl w:val="0"/>
    </w:pPr>
    <w:rPr>
      <w:b/>
      <w:bCs w:val="0"/>
      <w:kern w:val="44"/>
      <w:sz w:val="44"/>
      <w:szCs w:val="44"/>
    </w:rPr>
  </w:style>
  <w:style w:type="paragraph" w:styleId="2">
    <w:name w:val="heading 2"/>
    <w:basedOn w:val="a3"/>
    <w:next w:val="a3"/>
    <w:link w:val="2Char"/>
    <w:autoRedefine/>
    <w:uiPriority w:val="9"/>
    <w:qFormat/>
    <w:pPr>
      <w:keepNext/>
      <w:keepLines/>
      <w:spacing w:before="260" w:after="260" w:line="416" w:lineRule="auto"/>
      <w:outlineLvl w:val="1"/>
    </w:pPr>
    <w:rPr>
      <w:rFonts w:ascii="Cambria" w:hAnsi="Cambria" w:cs="宋体"/>
      <w:b/>
      <w:bCs w:val="0"/>
      <w:sz w:val="32"/>
      <w:szCs w:val="32"/>
    </w:rPr>
  </w:style>
  <w:style w:type="paragraph" w:styleId="3">
    <w:name w:val="heading 3"/>
    <w:basedOn w:val="a3"/>
    <w:next w:val="a3"/>
    <w:link w:val="3Char"/>
    <w:autoRedefine/>
    <w:uiPriority w:val="9"/>
    <w:qFormat/>
    <w:pPr>
      <w:keepNext/>
      <w:keepLines/>
      <w:spacing w:before="260" w:after="260" w:line="416" w:lineRule="auto"/>
      <w:outlineLvl w:val="2"/>
    </w:pPr>
    <w:rPr>
      <w:b/>
      <w:bCs w:val="0"/>
      <w:sz w:val="32"/>
      <w:szCs w:val="32"/>
    </w:rPr>
  </w:style>
  <w:style w:type="paragraph" w:styleId="4">
    <w:name w:val="heading 4"/>
    <w:basedOn w:val="a3"/>
    <w:next w:val="a3"/>
    <w:link w:val="4Char"/>
    <w:autoRedefine/>
    <w:uiPriority w:val="9"/>
    <w:qFormat/>
    <w:pPr>
      <w:keepNext/>
      <w:keepLines/>
      <w:spacing w:before="280" w:after="290" w:line="376" w:lineRule="auto"/>
      <w:outlineLvl w:val="3"/>
    </w:pPr>
    <w:rPr>
      <w:rFonts w:ascii="Cambria" w:hAnsi="Cambria" w:cs="宋体"/>
      <w:b/>
      <w:bCs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Char"/>
    <w:uiPriority w:val="99"/>
    <w:pPr>
      <w:spacing w:after="120"/>
      <w:ind w:leftChars="200" w:left="420"/>
    </w:pPr>
  </w:style>
  <w:style w:type="paragraph" w:styleId="a8">
    <w:name w:val="Balloon Text"/>
    <w:basedOn w:val="a3"/>
    <w:link w:val="Char0"/>
    <w:autoRedefine/>
    <w:uiPriority w:val="99"/>
    <w:qFormat/>
    <w:pPr>
      <w:spacing w:line="240" w:lineRule="auto"/>
    </w:pPr>
    <w:rPr>
      <w:sz w:val="18"/>
      <w:szCs w:val="18"/>
    </w:rPr>
  </w:style>
  <w:style w:type="paragraph" w:styleId="a9">
    <w:name w:val="footer"/>
    <w:basedOn w:val="a3"/>
    <w:link w:val="Char1"/>
    <w:autoRedefine/>
    <w:uiPriority w:val="99"/>
    <w:qFormat/>
    <w:pPr>
      <w:tabs>
        <w:tab w:val="center" w:pos="4153"/>
        <w:tab w:val="right" w:pos="8306"/>
      </w:tabs>
      <w:snapToGrid w:val="0"/>
      <w:spacing w:line="240" w:lineRule="auto"/>
    </w:pPr>
    <w:rPr>
      <w:sz w:val="18"/>
      <w:szCs w:val="18"/>
    </w:rPr>
  </w:style>
  <w:style w:type="paragraph" w:styleId="aa">
    <w:name w:val="header"/>
    <w:basedOn w:val="a3"/>
    <w:link w:val="Char2"/>
    <w:autoRedefine/>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3"/>
    <w:next w:val="a3"/>
    <w:autoRedefine/>
    <w:uiPriority w:val="39"/>
    <w:qFormat/>
  </w:style>
  <w:style w:type="paragraph" w:styleId="20">
    <w:name w:val="Body Text First Indent 2"/>
    <w:basedOn w:val="a7"/>
    <w:link w:val="2Char0"/>
    <w:autoRedefine/>
    <w:uiPriority w:val="99"/>
    <w:qFormat/>
    <w:pPr>
      <w:ind w:firstLineChars="200" w:firstLine="420"/>
    </w:pPr>
    <w:rPr>
      <w:rFonts w:ascii="Calibri" w:hAnsi="Calibri"/>
      <w:szCs w:val="24"/>
    </w:rPr>
  </w:style>
  <w:style w:type="table" w:styleId="ab">
    <w:name w:val="Table Grid"/>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4"/>
    <w:autoRedefine/>
    <w:uiPriority w:val="20"/>
    <w:qFormat/>
    <w:rPr>
      <w:i/>
      <w:iCs/>
    </w:rPr>
  </w:style>
  <w:style w:type="character" w:styleId="ad">
    <w:name w:val="Hyperlink"/>
    <w:basedOn w:val="a4"/>
    <w:autoRedefine/>
    <w:uiPriority w:val="99"/>
    <w:qFormat/>
    <w:rPr>
      <w:color w:val="0000FF"/>
      <w:u w:val="single"/>
    </w:rPr>
  </w:style>
  <w:style w:type="paragraph" w:customStyle="1" w:styleId="a">
    <w:name w:val="一级标题"/>
    <w:basedOn w:val="1"/>
    <w:next w:val="a3"/>
    <w:link w:val="Char3"/>
    <w:autoRedefine/>
    <w:qFormat/>
    <w:pPr>
      <w:numPr>
        <w:numId w:val="1"/>
      </w:numPr>
      <w:spacing w:line="360" w:lineRule="auto"/>
    </w:pPr>
  </w:style>
  <w:style w:type="character" w:customStyle="1" w:styleId="Char3">
    <w:name w:val="一级标题 Char"/>
    <w:basedOn w:val="1Char"/>
    <w:link w:val="a"/>
    <w:autoRedefine/>
    <w:qFormat/>
    <w:rPr>
      <w:rFonts w:ascii="宋体" w:eastAsia="宋体" w:hAnsi="宋体" w:cs="Times New Roman"/>
      <w:b/>
      <w:bCs/>
      <w:kern w:val="44"/>
      <w:sz w:val="44"/>
      <w:szCs w:val="44"/>
    </w:rPr>
  </w:style>
  <w:style w:type="character" w:customStyle="1" w:styleId="1Char">
    <w:name w:val="标题 1 Char"/>
    <w:basedOn w:val="a4"/>
    <w:link w:val="1"/>
    <w:autoRedefine/>
    <w:uiPriority w:val="9"/>
    <w:qFormat/>
    <w:rPr>
      <w:b/>
      <w:bCs/>
      <w:kern w:val="44"/>
      <w:sz w:val="44"/>
      <w:szCs w:val="44"/>
    </w:rPr>
  </w:style>
  <w:style w:type="paragraph" w:customStyle="1" w:styleId="a0">
    <w:name w:val="二级标题"/>
    <w:basedOn w:val="2"/>
    <w:next w:val="a3"/>
    <w:link w:val="Char4"/>
    <w:autoRedefine/>
    <w:qFormat/>
    <w:pPr>
      <w:numPr>
        <w:ilvl w:val="1"/>
        <w:numId w:val="1"/>
      </w:numPr>
      <w:spacing w:line="360" w:lineRule="auto"/>
    </w:pPr>
    <w:rPr>
      <w:rFonts w:ascii="宋体" w:hAnsi="宋体"/>
      <w:sz w:val="36"/>
    </w:rPr>
  </w:style>
  <w:style w:type="character" w:customStyle="1" w:styleId="Char4">
    <w:name w:val="二级标题 Char"/>
    <w:basedOn w:val="2Char"/>
    <w:link w:val="a0"/>
    <w:autoRedefine/>
    <w:qFormat/>
    <w:rPr>
      <w:rFonts w:ascii="宋体" w:eastAsia="宋体" w:hAnsi="宋体" w:cs="宋体"/>
      <w:b/>
      <w:bCs/>
      <w:sz w:val="36"/>
      <w:szCs w:val="32"/>
    </w:rPr>
  </w:style>
  <w:style w:type="character" w:customStyle="1" w:styleId="2Char">
    <w:name w:val="标题 2 Char"/>
    <w:basedOn w:val="a4"/>
    <w:link w:val="2"/>
    <w:autoRedefine/>
    <w:uiPriority w:val="9"/>
    <w:qFormat/>
    <w:rPr>
      <w:rFonts w:ascii="Cambria" w:eastAsia="宋体" w:hAnsi="Cambria" w:cs="宋体"/>
      <w:b/>
      <w:bCs/>
      <w:sz w:val="32"/>
      <w:szCs w:val="32"/>
    </w:rPr>
  </w:style>
  <w:style w:type="paragraph" w:customStyle="1" w:styleId="a1">
    <w:name w:val="三级标题"/>
    <w:basedOn w:val="3"/>
    <w:next w:val="a3"/>
    <w:link w:val="Char5"/>
    <w:autoRedefine/>
    <w:qFormat/>
    <w:pPr>
      <w:numPr>
        <w:ilvl w:val="2"/>
        <w:numId w:val="1"/>
      </w:numPr>
    </w:pPr>
  </w:style>
  <w:style w:type="character" w:customStyle="1" w:styleId="Char5">
    <w:name w:val="三级标题 Char"/>
    <w:basedOn w:val="3Char"/>
    <w:link w:val="a1"/>
    <w:autoRedefine/>
    <w:qFormat/>
    <w:rPr>
      <w:rFonts w:ascii="宋体" w:eastAsia="宋体" w:hAnsi="宋体"/>
      <w:b/>
      <w:bCs/>
      <w:sz w:val="32"/>
      <w:szCs w:val="32"/>
    </w:rPr>
  </w:style>
  <w:style w:type="character" w:customStyle="1" w:styleId="3Char">
    <w:name w:val="标题 3 Char"/>
    <w:basedOn w:val="a4"/>
    <w:link w:val="3"/>
    <w:autoRedefine/>
    <w:uiPriority w:val="9"/>
    <w:qFormat/>
    <w:rPr>
      <w:b/>
      <w:bCs/>
      <w:sz w:val="32"/>
      <w:szCs w:val="32"/>
    </w:rPr>
  </w:style>
  <w:style w:type="paragraph" w:customStyle="1" w:styleId="a2">
    <w:name w:val="四级标题"/>
    <w:basedOn w:val="4"/>
    <w:next w:val="a3"/>
    <w:link w:val="Char6"/>
    <w:autoRedefine/>
    <w:qFormat/>
    <w:pPr>
      <w:numPr>
        <w:ilvl w:val="3"/>
        <w:numId w:val="2"/>
      </w:numPr>
    </w:pPr>
  </w:style>
  <w:style w:type="character" w:customStyle="1" w:styleId="Char6">
    <w:name w:val="四级标题 Char"/>
    <w:basedOn w:val="a4"/>
    <w:link w:val="a2"/>
    <w:autoRedefine/>
    <w:qFormat/>
    <w:rPr>
      <w:rFonts w:ascii="Cambria" w:eastAsia="宋体" w:hAnsi="Cambria" w:cs="宋体"/>
      <w:b/>
      <w:bCs/>
      <w:sz w:val="28"/>
      <w:szCs w:val="28"/>
    </w:rPr>
  </w:style>
  <w:style w:type="character" w:customStyle="1" w:styleId="4Char">
    <w:name w:val="标题 4 Char"/>
    <w:basedOn w:val="a4"/>
    <w:link w:val="4"/>
    <w:autoRedefine/>
    <w:uiPriority w:val="9"/>
    <w:qFormat/>
    <w:rPr>
      <w:rFonts w:ascii="Cambria" w:eastAsia="宋体" w:hAnsi="Cambria" w:cs="宋体"/>
      <w:b/>
      <w:bCs/>
      <w:sz w:val="28"/>
      <w:szCs w:val="28"/>
    </w:rPr>
  </w:style>
  <w:style w:type="character" w:customStyle="1" w:styleId="Char2">
    <w:name w:val="页眉 Char"/>
    <w:basedOn w:val="a4"/>
    <w:link w:val="aa"/>
    <w:autoRedefine/>
    <w:uiPriority w:val="99"/>
    <w:qFormat/>
    <w:rPr>
      <w:rFonts w:ascii="Times New Roman" w:eastAsia="宋体" w:hAnsi="Times New Roman" w:cs="Times New Roman"/>
      <w:sz w:val="18"/>
      <w:szCs w:val="18"/>
    </w:rPr>
  </w:style>
  <w:style w:type="character" w:customStyle="1" w:styleId="Char1">
    <w:name w:val="页脚 Char"/>
    <w:basedOn w:val="a4"/>
    <w:link w:val="a9"/>
    <w:autoRedefine/>
    <w:uiPriority w:val="99"/>
    <w:qFormat/>
    <w:rPr>
      <w:rFonts w:ascii="Times New Roman" w:eastAsia="宋体" w:hAnsi="Times New Roman" w:cs="Times New Roman"/>
      <w:sz w:val="18"/>
      <w:szCs w:val="18"/>
    </w:rPr>
  </w:style>
  <w:style w:type="paragraph" w:customStyle="1" w:styleId="11">
    <w:name w:val="标题1"/>
    <w:basedOn w:val="1"/>
    <w:next w:val="a3"/>
    <w:link w:val="1Char0"/>
    <w:autoRedefine/>
    <w:qFormat/>
    <w:pPr>
      <w:spacing w:line="360" w:lineRule="auto"/>
    </w:pPr>
  </w:style>
  <w:style w:type="character" w:customStyle="1" w:styleId="1Char0">
    <w:name w:val="标题1 Char"/>
    <w:basedOn w:val="a4"/>
    <w:link w:val="11"/>
    <w:autoRedefine/>
    <w:qFormat/>
    <w:rPr>
      <w:rFonts w:ascii="宋体" w:eastAsia="宋体" w:hAnsi="宋体" w:cs="Times New Roman"/>
      <w:b/>
      <w:bCs/>
      <w:kern w:val="44"/>
      <w:sz w:val="44"/>
      <w:szCs w:val="44"/>
    </w:rPr>
  </w:style>
  <w:style w:type="paragraph" w:customStyle="1" w:styleId="21">
    <w:name w:val="标题2"/>
    <w:basedOn w:val="2"/>
    <w:next w:val="a3"/>
    <w:autoRedefine/>
    <w:qFormat/>
    <w:pPr>
      <w:spacing w:line="360" w:lineRule="auto"/>
    </w:pPr>
    <w:rPr>
      <w:rFonts w:ascii="宋体" w:hAnsi="宋体"/>
      <w:sz w:val="36"/>
    </w:rPr>
  </w:style>
  <w:style w:type="paragraph" w:customStyle="1" w:styleId="30">
    <w:name w:val="标题3"/>
    <w:basedOn w:val="3"/>
    <w:next w:val="a3"/>
    <w:autoRedefine/>
    <w:qFormat/>
  </w:style>
  <w:style w:type="character" w:customStyle="1" w:styleId="font21">
    <w:name w:val="font21"/>
    <w:basedOn w:val="a4"/>
    <w:autoRedefine/>
    <w:qFormat/>
    <w:rPr>
      <w:rFonts w:ascii="宋体" w:eastAsia="宋体" w:hAnsi="宋体" w:cs="宋体" w:hint="eastAsia"/>
      <w:b/>
      <w:color w:val="000000"/>
      <w:sz w:val="24"/>
      <w:szCs w:val="24"/>
      <w:u w:val="none"/>
    </w:rPr>
  </w:style>
  <w:style w:type="character" w:customStyle="1" w:styleId="font11">
    <w:name w:val="font11"/>
    <w:basedOn w:val="a4"/>
    <w:autoRedefine/>
    <w:qFormat/>
    <w:rPr>
      <w:rFonts w:ascii="宋体" w:eastAsia="宋体" w:hAnsi="宋体" w:cs="宋体" w:hint="eastAsia"/>
      <w:b/>
      <w:color w:val="000000"/>
      <w:sz w:val="22"/>
      <w:szCs w:val="22"/>
      <w:u w:val="none"/>
    </w:rPr>
  </w:style>
  <w:style w:type="character" w:customStyle="1" w:styleId="Char">
    <w:name w:val="正文文本缩进 Char"/>
    <w:basedOn w:val="a4"/>
    <w:link w:val="a7"/>
    <w:autoRedefine/>
    <w:uiPriority w:val="99"/>
    <w:qFormat/>
    <w:rPr>
      <w:rFonts w:ascii="Times New Roman" w:eastAsia="宋体" w:hAnsi="Times New Roman" w:cs="Times New Roman"/>
      <w:kern w:val="2"/>
      <w:sz w:val="24"/>
    </w:rPr>
  </w:style>
  <w:style w:type="character" w:customStyle="1" w:styleId="2Char0">
    <w:name w:val="正文首行缩进 2 Char"/>
    <w:basedOn w:val="Char"/>
    <w:link w:val="20"/>
    <w:autoRedefine/>
    <w:uiPriority w:val="99"/>
    <w:qFormat/>
    <w:rPr>
      <w:rFonts w:ascii="Calibri" w:eastAsia="宋体" w:hAnsi="Calibri" w:cs="Times New Roman"/>
      <w:kern w:val="2"/>
      <w:sz w:val="24"/>
      <w:szCs w:val="24"/>
    </w:rPr>
  </w:style>
  <w:style w:type="character" w:customStyle="1" w:styleId="Char7">
    <w:name w:val="_正文 Char"/>
    <w:link w:val="ae"/>
    <w:autoRedefine/>
    <w:qFormat/>
    <w:rPr>
      <w:rFonts w:ascii="Times New Roman" w:eastAsia="宋体" w:hAnsi="Times New Roman" w:cs="Times New Roman"/>
      <w:sz w:val="24"/>
      <w:szCs w:val="24"/>
    </w:rPr>
  </w:style>
  <w:style w:type="paragraph" w:customStyle="1" w:styleId="ae">
    <w:name w:val="_正文"/>
    <w:basedOn w:val="a3"/>
    <w:link w:val="Char7"/>
    <w:autoRedefine/>
    <w:qFormat/>
    <w:pPr>
      <w:ind w:firstLineChars="200" w:firstLine="200"/>
    </w:pPr>
    <w:rPr>
      <w:szCs w:val="24"/>
    </w:rPr>
  </w:style>
  <w:style w:type="paragraph" w:customStyle="1" w:styleId="TOC1">
    <w:name w:val="TOC 标题1"/>
    <w:basedOn w:val="1"/>
    <w:next w:val="a3"/>
    <w:autoRedefine/>
    <w:uiPriority w:val="39"/>
    <w:qFormat/>
    <w:pPr>
      <w:spacing w:before="240" w:after="0" w:line="259" w:lineRule="auto"/>
      <w:outlineLvl w:val="9"/>
    </w:pPr>
    <w:rPr>
      <w:rFonts w:ascii="Cambria" w:hAnsi="Cambria" w:cs="宋体"/>
      <w:b w:val="0"/>
      <w:bCs/>
      <w:color w:val="365F91"/>
      <w:kern w:val="0"/>
      <w:sz w:val="32"/>
      <w:szCs w:val="32"/>
    </w:rPr>
  </w:style>
  <w:style w:type="character" w:customStyle="1" w:styleId="Char0">
    <w:name w:val="批注框文本 Char"/>
    <w:basedOn w:val="a4"/>
    <w:link w:val="a8"/>
    <w:autoRedefine/>
    <w:uiPriority w:val="99"/>
    <w:qFormat/>
    <w:rPr>
      <w:rFonts w:ascii="Times New Roman" w:eastAsia="宋体" w:hAnsi="Times New Roman" w:cs="Times New Roman"/>
      <w:kern w:val="2"/>
      <w:sz w:val="18"/>
      <w:szCs w:val="18"/>
    </w:rPr>
  </w:style>
  <w:style w:type="paragraph" w:customStyle="1" w:styleId="Default">
    <w:name w:val="Default"/>
    <w:autoRedefine/>
    <w:unhideWhenUsed/>
    <w:qFormat/>
    <w:pPr>
      <w:widowControl w:val="0"/>
      <w:autoSpaceDE w:val="0"/>
      <w:autoSpaceDN w:val="0"/>
    </w:pPr>
    <w:rPr>
      <w:rFonts w:ascii="黑体" w:eastAsia="黑体" w:hAnsi="黑体" w:hint="eastAsia"/>
      <w:color w:val="000000"/>
      <w:sz w:val="24"/>
      <w:szCs w:val="22"/>
    </w:rPr>
  </w:style>
  <w:style w:type="paragraph" w:customStyle="1" w:styleId="Normal1">
    <w:name w:val="Normal_1"/>
    <w:autoRedefine/>
    <w:qFormat/>
    <w:rPr>
      <w:rFonts w:ascii="Calibri" w:hAnsi="Calibri"/>
      <w:sz w:val="24"/>
      <w:szCs w:val="24"/>
    </w:rPr>
  </w:style>
  <w:style w:type="character" w:customStyle="1" w:styleId="font31">
    <w:name w:val="font31"/>
    <w:basedOn w:val="a4"/>
    <w:autoRedefine/>
    <w:qFormat/>
    <w:rPr>
      <w:rFonts w:ascii="宋体" w:eastAsia="宋体" w:hAnsi="宋体" w:cs="宋体" w:hint="eastAsia"/>
      <w:color w:val="000000"/>
      <w:sz w:val="22"/>
      <w:szCs w:val="22"/>
      <w:u w:val="none"/>
    </w:rPr>
  </w:style>
  <w:style w:type="character" w:customStyle="1" w:styleId="font41">
    <w:name w:val="font41"/>
    <w:basedOn w:val="a4"/>
    <w:autoRedefine/>
    <w:qFormat/>
    <w:rPr>
      <w:rFonts w:ascii="Times New Roman" w:hAnsi="Times New Roman" w:cs="Times New Roman" w:hint="default"/>
      <w:color w:val="000000"/>
      <w:sz w:val="21"/>
      <w:szCs w:val="21"/>
      <w:u w:val="none"/>
    </w:rPr>
  </w:style>
  <w:style w:type="paragraph" w:styleId="af">
    <w:name w:val="List Paragraph"/>
    <w:basedOn w:val="a3"/>
    <w:autoRedefine/>
    <w:uiPriority w:val="99"/>
    <w:unhideWhenUsed/>
    <w:qFormat/>
    <w:pPr>
      <w:ind w:firstLineChars="200" w:firstLine="420"/>
    </w:pPr>
  </w:style>
  <w:style w:type="character" w:customStyle="1" w:styleId="font51">
    <w:name w:val="font51"/>
    <w:basedOn w:val="a4"/>
    <w:autoRedefine/>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nhideWhenUsed="0"/>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utoRedefine/>
    <w:qFormat/>
    <w:pPr>
      <w:spacing w:line="360" w:lineRule="auto"/>
      <w:textAlignment w:val="center"/>
    </w:pPr>
    <w:rPr>
      <w:rFonts w:ascii="宋体" w:hAnsi="宋体"/>
      <w:bCs/>
      <w:color w:val="000000"/>
      <w:sz w:val="21"/>
      <w:szCs w:val="21"/>
    </w:rPr>
  </w:style>
  <w:style w:type="paragraph" w:styleId="1">
    <w:name w:val="heading 1"/>
    <w:basedOn w:val="a3"/>
    <w:next w:val="a3"/>
    <w:link w:val="1Char"/>
    <w:autoRedefine/>
    <w:uiPriority w:val="9"/>
    <w:qFormat/>
    <w:pPr>
      <w:keepNext/>
      <w:keepLines/>
      <w:spacing w:before="340" w:after="330" w:line="578" w:lineRule="auto"/>
      <w:outlineLvl w:val="0"/>
    </w:pPr>
    <w:rPr>
      <w:b/>
      <w:bCs w:val="0"/>
      <w:kern w:val="44"/>
      <w:sz w:val="44"/>
      <w:szCs w:val="44"/>
    </w:rPr>
  </w:style>
  <w:style w:type="paragraph" w:styleId="2">
    <w:name w:val="heading 2"/>
    <w:basedOn w:val="a3"/>
    <w:next w:val="a3"/>
    <w:link w:val="2Char"/>
    <w:autoRedefine/>
    <w:uiPriority w:val="9"/>
    <w:qFormat/>
    <w:pPr>
      <w:keepNext/>
      <w:keepLines/>
      <w:spacing w:before="260" w:after="260" w:line="416" w:lineRule="auto"/>
      <w:outlineLvl w:val="1"/>
    </w:pPr>
    <w:rPr>
      <w:rFonts w:ascii="Cambria" w:hAnsi="Cambria" w:cs="宋体"/>
      <w:b/>
      <w:bCs w:val="0"/>
      <w:sz w:val="32"/>
      <w:szCs w:val="32"/>
    </w:rPr>
  </w:style>
  <w:style w:type="paragraph" w:styleId="3">
    <w:name w:val="heading 3"/>
    <w:basedOn w:val="a3"/>
    <w:next w:val="a3"/>
    <w:link w:val="3Char"/>
    <w:autoRedefine/>
    <w:uiPriority w:val="9"/>
    <w:qFormat/>
    <w:pPr>
      <w:keepNext/>
      <w:keepLines/>
      <w:spacing w:before="260" w:after="260" w:line="416" w:lineRule="auto"/>
      <w:outlineLvl w:val="2"/>
    </w:pPr>
    <w:rPr>
      <w:b/>
      <w:bCs w:val="0"/>
      <w:sz w:val="32"/>
      <w:szCs w:val="32"/>
    </w:rPr>
  </w:style>
  <w:style w:type="paragraph" w:styleId="4">
    <w:name w:val="heading 4"/>
    <w:basedOn w:val="a3"/>
    <w:next w:val="a3"/>
    <w:link w:val="4Char"/>
    <w:autoRedefine/>
    <w:uiPriority w:val="9"/>
    <w:qFormat/>
    <w:pPr>
      <w:keepNext/>
      <w:keepLines/>
      <w:spacing w:before="280" w:after="290" w:line="376" w:lineRule="auto"/>
      <w:outlineLvl w:val="3"/>
    </w:pPr>
    <w:rPr>
      <w:rFonts w:ascii="Cambria" w:hAnsi="Cambria" w:cs="宋体"/>
      <w:b/>
      <w:bCs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Char"/>
    <w:uiPriority w:val="99"/>
    <w:pPr>
      <w:spacing w:after="120"/>
      <w:ind w:leftChars="200" w:left="420"/>
    </w:pPr>
  </w:style>
  <w:style w:type="paragraph" w:styleId="a8">
    <w:name w:val="Balloon Text"/>
    <w:basedOn w:val="a3"/>
    <w:link w:val="Char0"/>
    <w:autoRedefine/>
    <w:uiPriority w:val="99"/>
    <w:qFormat/>
    <w:pPr>
      <w:spacing w:line="240" w:lineRule="auto"/>
    </w:pPr>
    <w:rPr>
      <w:sz w:val="18"/>
      <w:szCs w:val="18"/>
    </w:rPr>
  </w:style>
  <w:style w:type="paragraph" w:styleId="a9">
    <w:name w:val="footer"/>
    <w:basedOn w:val="a3"/>
    <w:link w:val="Char1"/>
    <w:autoRedefine/>
    <w:uiPriority w:val="99"/>
    <w:qFormat/>
    <w:pPr>
      <w:tabs>
        <w:tab w:val="center" w:pos="4153"/>
        <w:tab w:val="right" w:pos="8306"/>
      </w:tabs>
      <w:snapToGrid w:val="0"/>
      <w:spacing w:line="240" w:lineRule="auto"/>
    </w:pPr>
    <w:rPr>
      <w:sz w:val="18"/>
      <w:szCs w:val="18"/>
    </w:rPr>
  </w:style>
  <w:style w:type="paragraph" w:styleId="aa">
    <w:name w:val="header"/>
    <w:basedOn w:val="a3"/>
    <w:link w:val="Char2"/>
    <w:autoRedefine/>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3"/>
    <w:next w:val="a3"/>
    <w:autoRedefine/>
    <w:uiPriority w:val="39"/>
    <w:qFormat/>
  </w:style>
  <w:style w:type="paragraph" w:styleId="20">
    <w:name w:val="Body Text First Indent 2"/>
    <w:basedOn w:val="a7"/>
    <w:link w:val="2Char0"/>
    <w:autoRedefine/>
    <w:uiPriority w:val="99"/>
    <w:qFormat/>
    <w:pPr>
      <w:ind w:firstLineChars="200" w:firstLine="420"/>
    </w:pPr>
    <w:rPr>
      <w:rFonts w:ascii="Calibri" w:hAnsi="Calibri"/>
      <w:szCs w:val="24"/>
    </w:rPr>
  </w:style>
  <w:style w:type="table" w:styleId="ab">
    <w:name w:val="Table Grid"/>
    <w:basedOn w:val="a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4"/>
    <w:autoRedefine/>
    <w:uiPriority w:val="20"/>
    <w:qFormat/>
    <w:rPr>
      <w:i/>
      <w:iCs/>
    </w:rPr>
  </w:style>
  <w:style w:type="character" w:styleId="ad">
    <w:name w:val="Hyperlink"/>
    <w:basedOn w:val="a4"/>
    <w:autoRedefine/>
    <w:uiPriority w:val="99"/>
    <w:qFormat/>
    <w:rPr>
      <w:color w:val="0000FF"/>
      <w:u w:val="single"/>
    </w:rPr>
  </w:style>
  <w:style w:type="paragraph" w:customStyle="1" w:styleId="a">
    <w:name w:val="一级标题"/>
    <w:basedOn w:val="1"/>
    <w:next w:val="a3"/>
    <w:link w:val="Char3"/>
    <w:autoRedefine/>
    <w:qFormat/>
    <w:pPr>
      <w:numPr>
        <w:numId w:val="1"/>
      </w:numPr>
      <w:spacing w:line="360" w:lineRule="auto"/>
    </w:pPr>
  </w:style>
  <w:style w:type="character" w:customStyle="1" w:styleId="Char3">
    <w:name w:val="一级标题 Char"/>
    <w:basedOn w:val="1Char"/>
    <w:link w:val="a"/>
    <w:autoRedefine/>
    <w:qFormat/>
    <w:rPr>
      <w:rFonts w:ascii="宋体" w:eastAsia="宋体" w:hAnsi="宋体" w:cs="Times New Roman"/>
      <w:b/>
      <w:bCs/>
      <w:kern w:val="44"/>
      <w:sz w:val="44"/>
      <w:szCs w:val="44"/>
    </w:rPr>
  </w:style>
  <w:style w:type="character" w:customStyle="1" w:styleId="1Char">
    <w:name w:val="标题 1 Char"/>
    <w:basedOn w:val="a4"/>
    <w:link w:val="1"/>
    <w:autoRedefine/>
    <w:uiPriority w:val="9"/>
    <w:qFormat/>
    <w:rPr>
      <w:b/>
      <w:bCs/>
      <w:kern w:val="44"/>
      <w:sz w:val="44"/>
      <w:szCs w:val="44"/>
    </w:rPr>
  </w:style>
  <w:style w:type="paragraph" w:customStyle="1" w:styleId="a0">
    <w:name w:val="二级标题"/>
    <w:basedOn w:val="2"/>
    <w:next w:val="a3"/>
    <w:link w:val="Char4"/>
    <w:autoRedefine/>
    <w:qFormat/>
    <w:pPr>
      <w:numPr>
        <w:ilvl w:val="1"/>
        <w:numId w:val="1"/>
      </w:numPr>
      <w:spacing w:line="360" w:lineRule="auto"/>
    </w:pPr>
    <w:rPr>
      <w:rFonts w:ascii="宋体" w:hAnsi="宋体"/>
      <w:sz w:val="36"/>
    </w:rPr>
  </w:style>
  <w:style w:type="character" w:customStyle="1" w:styleId="Char4">
    <w:name w:val="二级标题 Char"/>
    <w:basedOn w:val="2Char"/>
    <w:link w:val="a0"/>
    <w:autoRedefine/>
    <w:qFormat/>
    <w:rPr>
      <w:rFonts w:ascii="宋体" w:eastAsia="宋体" w:hAnsi="宋体" w:cs="宋体"/>
      <w:b/>
      <w:bCs/>
      <w:sz w:val="36"/>
      <w:szCs w:val="32"/>
    </w:rPr>
  </w:style>
  <w:style w:type="character" w:customStyle="1" w:styleId="2Char">
    <w:name w:val="标题 2 Char"/>
    <w:basedOn w:val="a4"/>
    <w:link w:val="2"/>
    <w:autoRedefine/>
    <w:uiPriority w:val="9"/>
    <w:qFormat/>
    <w:rPr>
      <w:rFonts w:ascii="Cambria" w:eastAsia="宋体" w:hAnsi="Cambria" w:cs="宋体"/>
      <w:b/>
      <w:bCs/>
      <w:sz w:val="32"/>
      <w:szCs w:val="32"/>
    </w:rPr>
  </w:style>
  <w:style w:type="paragraph" w:customStyle="1" w:styleId="a1">
    <w:name w:val="三级标题"/>
    <w:basedOn w:val="3"/>
    <w:next w:val="a3"/>
    <w:link w:val="Char5"/>
    <w:autoRedefine/>
    <w:qFormat/>
    <w:pPr>
      <w:numPr>
        <w:ilvl w:val="2"/>
        <w:numId w:val="1"/>
      </w:numPr>
    </w:pPr>
  </w:style>
  <w:style w:type="character" w:customStyle="1" w:styleId="Char5">
    <w:name w:val="三级标题 Char"/>
    <w:basedOn w:val="3Char"/>
    <w:link w:val="a1"/>
    <w:autoRedefine/>
    <w:qFormat/>
    <w:rPr>
      <w:rFonts w:ascii="宋体" w:eastAsia="宋体" w:hAnsi="宋体"/>
      <w:b/>
      <w:bCs/>
      <w:sz w:val="32"/>
      <w:szCs w:val="32"/>
    </w:rPr>
  </w:style>
  <w:style w:type="character" w:customStyle="1" w:styleId="3Char">
    <w:name w:val="标题 3 Char"/>
    <w:basedOn w:val="a4"/>
    <w:link w:val="3"/>
    <w:autoRedefine/>
    <w:uiPriority w:val="9"/>
    <w:qFormat/>
    <w:rPr>
      <w:b/>
      <w:bCs/>
      <w:sz w:val="32"/>
      <w:szCs w:val="32"/>
    </w:rPr>
  </w:style>
  <w:style w:type="paragraph" w:customStyle="1" w:styleId="a2">
    <w:name w:val="四级标题"/>
    <w:basedOn w:val="4"/>
    <w:next w:val="a3"/>
    <w:link w:val="Char6"/>
    <w:autoRedefine/>
    <w:qFormat/>
    <w:pPr>
      <w:numPr>
        <w:ilvl w:val="3"/>
        <w:numId w:val="2"/>
      </w:numPr>
    </w:pPr>
  </w:style>
  <w:style w:type="character" w:customStyle="1" w:styleId="Char6">
    <w:name w:val="四级标题 Char"/>
    <w:basedOn w:val="a4"/>
    <w:link w:val="a2"/>
    <w:autoRedefine/>
    <w:qFormat/>
    <w:rPr>
      <w:rFonts w:ascii="Cambria" w:eastAsia="宋体" w:hAnsi="Cambria" w:cs="宋体"/>
      <w:b/>
      <w:bCs/>
      <w:sz w:val="28"/>
      <w:szCs w:val="28"/>
    </w:rPr>
  </w:style>
  <w:style w:type="character" w:customStyle="1" w:styleId="4Char">
    <w:name w:val="标题 4 Char"/>
    <w:basedOn w:val="a4"/>
    <w:link w:val="4"/>
    <w:autoRedefine/>
    <w:uiPriority w:val="9"/>
    <w:qFormat/>
    <w:rPr>
      <w:rFonts w:ascii="Cambria" w:eastAsia="宋体" w:hAnsi="Cambria" w:cs="宋体"/>
      <w:b/>
      <w:bCs/>
      <w:sz w:val="28"/>
      <w:szCs w:val="28"/>
    </w:rPr>
  </w:style>
  <w:style w:type="character" w:customStyle="1" w:styleId="Char2">
    <w:name w:val="页眉 Char"/>
    <w:basedOn w:val="a4"/>
    <w:link w:val="aa"/>
    <w:autoRedefine/>
    <w:uiPriority w:val="99"/>
    <w:qFormat/>
    <w:rPr>
      <w:rFonts w:ascii="Times New Roman" w:eastAsia="宋体" w:hAnsi="Times New Roman" w:cs="Times New Roman"/>
      <w:sz w:val="18"/>
      <w:szCs w:val="18"/>
    </w:rPr>
  </w:style>
  <w:style w:type="character" w:customStyle="1" w:styleId="Char1">
    <w:name w:val="页脚 Char"/>
    <w:basedOn w:val="a4"/>
    <w:link w:val="a9"/>
    <w:autoRedefine/>
    <w:uiPriority w:val="99"/>
    <w:qFormat/>
    <w:rPr>
      <w:rFonts w:ascii="Times New Roman" w:eastAsia="宋体" w:hAnsi="Times New Roman" w:cs="Times New Roman"/>
      <w:sz w:val="18"/>
      <w:szCs w:val="18"/>
    </w:rPr>
  </w:style>
  <w:style w:type="paragraph" w:customStyle="1" w:styleId="11">
    <w:name w:val="标题1"/>
    <w:basedOn w:val="1"/>
    <w:next w:val="a3"/>
    <w:link w:val="1Char0"/>
    <w:autoRedefine/>
    <w:qFormat/>
    <w:pPr>
      <w:spacing w:line="360" w:lineRule="auto"/>
    </w:pPr>
  </w:style>
  <w:style w:type="character" w:customStyle="1" w:styleId="1Char0">
    <w:name w:val="标题1 Char"/>
    <w:basedOn w:val="a4"/>
    <w:link w:val="11"/>
    <w:autoRedefine/>
    <w:qFormat/>
    <w:rPr>
      <w:rFonts w:ascii="宋体" w:eastAsia="宋体" w:hAnsi="宋体" w:cs="Times New Roman"/>
      <w:b/>
      <w:bCs/>
      <w:kern w:val="44"/>
      <w:sz w:val="44"/>
      <w:szCs w:val="44"/>
    </w:rPr>
  </w:style>
  <w:style w:type="paragraph" w:customStyle="1" w:styleId="21">
    <w:name w:val="标题2"/>
    <w:basedOn w:val="2"/>
    <w:next w:val="a3"/>
    <w:autoRedefine/>
    <w:qFormat/>
    <w:pPr>
      <w:spacing w:line="360" w:lineRule="auto"/>
    </w:pPr>
    <w:rPr>
      <w:rFonts w:ascii="宋体" w:hAnsi="宋体"/>
      <w:sz w:val="36"/>
    </w:rPr>
  </w:style>
  <w:style w:type="paragraph" w:customStyle="1" w:styleId="30">
    <w:name w:val="标题3"/>
    <w:basedOn w:val="3"/>
    <w:next w:val="a3"/>
    <w:autoRedefine/>
    <w:qFormat/>
  </w:style>
  <w:style w:type="character" w:customStyle="1" w:styleId="font21">
    <w:name w:val="font21"/>
    <w:basedOn w:val="a4"/>
    <w:autoRedefine/>
    <w:qFormat/>
    <w:rPr>
      <w:rFonts w:ascii="宋体" w:eastAsia="宋体" w:hAnsi="宋体" w:cs="宋体" w:hint="eastAsia"/>
      <w:b/>
      <w:color w:val="000000"/>
      <w:sz w:val="24"/>
      <w:szCs w:val="24"/>
      <w:u w:val="none"/>
    </w:rPr>
  </w:style>
  <w:style w:type="character" w:customStyle="1" w:styleId="font11">
    <w:name w:val="font11"/>
    <w:basedOn w:val="a4"/>
    <w:autoRedefine/>
    <w:qFormat/>
    <w:rPr>
      <w:rFonts w:ascii="宋体" w:eastAsia="宋体" w:hAnsi="宋体" w:cs="宋体" w:hint="eastAsia"/>
      <w:b/>
      <w:color w:val="000000"/>
      <w:sz w:val="22"/>
      <w:szCs w:val="22"/>
      <w:u w:val="none"/>
    </w:rPr>
  </w:style>
  <w:style w:type="character" w:customStyle="1" w:styleId="Char">
    <w:name w:val="正文文本缩进 Char"/>
    <w:basedOn w:val="a4"/>
    <w:link w:val="a7"/>
    <w:autoRedefine/>
    <w:uiPriority w:val="99"/>
    <w:qFormat/>
    <w:rPr>
      <w:rFonts w:ascii="Times New Roman" w:eastAsia="宋体" w:hAnsi="Times New Roman" w:cs="Times New Roman"/>
      <w:kern w:val="2"/>
      <w:sz w:val="24"/>
    </w:rPr>
  </w:style>
  <w:style w:type="character" w:customStyle="1" w:styleId="2Char0">
    <w:name w:val="正文首行缩进 2 Char"/>
    <w:basedOn w:val="Char"/>
    <w:link w:val="20"/>
    <w:autoRedefine/>
    <w:uiPriority w:val="99"/>
    <w:qFormat/>
    <w:rPr>
      <w:rFonts w:ascii="Calibri" w:eastAsia="宋体" w:hAnsi="Calibri" w:cs="Times New Roman"/>
      <w:kern w:val="2"/>
      <w:sz w:val="24"/>
      <w:szCs w:val="24"/>
    </w:rPr>
  </w:style>
  <w:style w:type="character" w:customStyle="1" w:styleId="Char7">
    <w:name w:val="_正文 Char"/>
    <w:link w:val="ae"/>
    <w:autoRedefine/>
    <w:qFormat/>
    <w:rPr>
      <w:rFonts w:ascii="Times New Roman" w:eastAsia="宋体" w:hAnsi="Times New Roman" w:cs="Times New Roman"/>
      <w:sz w:val="24"/>
      <w:szCs w:val="24"/>
    </w:rPr>
  </w:style>
  <w:style w:type="paragraph" w:customStyle="1" w:styleId="ae">
    <w:name w:val="_正文"/>
    <w:basedOn w:val="a3"/>
    <w:link w:val="Char7"/>
    <w:autoRedefine/>
    <w:qFormat/>
    <w:pPr>
      <w:ind w:firstLineChars="200" w:firstLine="200"/>
    </w:pPr>
    <w:rPr>
      <w:szCs w:val="24"/>
    </w:rPr>
  </w:style>
  <w:style w:type="paragraph" w:customStyle="1" w:styleId="TOC1">
    <w:name w:val="TOC 标题1"/>
    <w:basedOn w:val="1"/>
    <w:next w:val="a3"/>
    <w:autoRedefine/>
    <w:uiPriority w:val="39"/>
    <w:qFormat/>
    <w:pPr>
      <w:spacing w:before="240" w:after="0" w:line="259" w:lineRule="auto"/>
      <w:outlineLvl w:val="9"/>
    </w:pPr>
    <w:rPr>
      <w:rFonts w:ascii="Cambria" w:hAnsi="Cambria" w:cs="宋体"/>
      <w:b w:val="0"/>
      <w:bCs/>
      <w:color w:val="365F91"/>
      <w:kern w:val="0"/>
      <w:sz w:val="32"/>
      <w:szCs w:val="32"/>
    </w:rPr>
  </w:style>
  <w:style w:type="character" w:customStyle="1" w:styleId="Char0">
    <w:name w:val="批注框文本 Char"/>
    <w:basedOn w:val="a4"/>
    <w:link w:val="a8"/>
    <w:autoRedefine/>
    <w:uiPriority w:val="99"/>
    <w:qFormat/>
    <w:rPr>
      <w:rFonts w:ascii="Times New Roman" w:eastAsia="宋体" w:hAnsi="Times New Roman" w:cs="Times New Roman"/>
      <w:kern w:val="2"/>
      <w:sz w:val="18"/>
      <w:szCs w:val="18"/>
    </w:rPr>
  </w:style>
  <w:style w:type="paragraph" w:customStyle="1" w:styleId="Default">
    <w:name w:val="Default"/>
    <w:autoRedefine/>
    <w:unhideWhenUsed/>
    <w:qFormat/>
    <w:pPr>
      <w:widowControl w:val="0"/>
      <w:autoSpaceDE w:val="0"/>
      <w:autoSpaceDN w:val="0"/>
    </w:pPr>
    <w:rPr>
      <w:rFonts w:ascii="黑体" w:eastAsia="黑体" w:hAnsi="黑体" w:hint="eastAsia"/>
      <w:color w:val="000000"/>
      <w:sz w:val="24"/>
      <w:szCs w:val="22"/>
    </w:rPr>
  </w:style>
  <w:style w:type="paragraph" w:customStyle="1" w:styleId="Normal1">
    <w:name w:val="Normal_1"/>
    <w:autoRedefine/>
    <w:qFormat/>
    <w:rPr>
      <w:rFonts w:ascii="Calibri" w:hAnsi="Calibri"/>
      <w:sz w:val="24"/>
      <w:szCs w:val="24"/>
    </w:rPr>
  </w:style>
  <w:style w:type="character" w:customStyle="1" w:styleId="font31">
    <w:name w:val="font31"/>
    <w:basedOn w:val="a4"/>
    <w:autoRedefine/>
    <w:qFormat/>
    <w:rPr>
      <w:rFonts w:ascii="宋体" w:eastAsia="宋体" w:hAnsi="宋体" w:cs="宋体" w:hint="eastAsia"/>
      <w:color w:val="000000"/>
      <w:sz w:val="22"/>
      <w:szCs w:val="22"/>
      <w:u w:val="none"/>
    </w:rPr>
  </w:style>
  <w:style w:type="character" w:customStyle="1" w:styleId="font41">
    <w:name w:val="font41"/>
    <w:basedOn w:val="a4"/>
    <w:autoRedefine/>
    <w:qFormat/>
    <w:rPr>
      <w:rFonts w:ascii="Times New Roman" w:hAnsi="Times New Roman" w:cs="Times New Roman" w:hint="default"/>
      <w:color w:val="000000"/>
      <w:sz w:val="21"/>
      <w:szCs w:val="21"/>
      <w:u w:val="none"/>
    </w:rPr>
  </w:style>
  <w:style w:type="paragraph" w:styleId="af">
    <w:name w:val="List Paragraph"/>
    <w:basedOn w:val="a3"/>
    <w:autoRedefine/>
    <w:uiPriority w:val="99"/>
    <w:unhideWhenUsed/>
    <w:qFormat/>
    <w:pPr>
      <w:ind w:firstLineChars="200" w:firstLine="420"/>
    </w:pPr>
  </w:style>
  <w:style w:type="character" w:customStyle="1" w:styleId="font51">
    <w:name w:val="font51"/>
    <w:basedOn w:val="a4"/>
    <w:autoRedefine/>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755</Words>
  <Characters>4307</Characters>
  <Application>Microsoft Office Word</Application>
  <DocSecurity>0</DocSecurity>
  <Lines>35</Lines>
  <Paragraphs>10</Paragraphs>
  <ScaleCrop>false</ScaleCrop>
  <Company>P R C</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Mr.zhao</dc:creator>
  <cp:lastModifiedBy>Windows User</cp:lastModifiedBy>
  <cp:revision>2</cp:revision>
  <dcterms:created xsi:type="dcterms:W3CDTF">2024-05-22T07:52:00Z</dcterms:created>
  <dcterms:modified xsi:type="dcterms:W3CDTF">2024-05-22T07:52:00Z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7A04F1CAEE194311B2674C926CC54BA7_13</vt:lpwstr>
  </property>
</Properties>
</file>